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2D9" w:rsidRDefault="00EA52D9">
      <w:pPr>
        <w:pStyle w:val="BodyText"/>
        <w:rPr>
          <w:rFonts w:ascii="Times New Roman"/>
          <w:sz w:val="20"/>
        </w:rPr>
      </w:pPr>
    </w:p>
    <w:p w:rsidR="00EA52D9" w:rsidRDefault="00BC7622">
      <w:pPr>
        <w:spacing w:before="182"/>
        <w:ind w:left="209"/>
        <w:rPr>
          <w:rFonts w:ascii="Calibri"/>
          <w:b/>
        </w:rPr>
      </w:pPr>
      <w:bookmarkStart w:id="0" w:name="committee_report_duty_of_candour"/>
      <w:bookmarkEnd w:id="0"/>
      <w:r>
        <w:rPr>
          <w:rFonts w:ascii="Calibri"/>
          <w:b/>
          <w:color w:val="1F497D"/>
        </w:rPr>
        <w:t>DATA LABEL: PUBLIC</w:t>
      </w:r>
    </w:p>
    <w:p w:rsidR="00EA52D9" w:rsidRDefault="00BC7622">
      <w:pPr>
        <w:pStyle w:val="BodyText"/>
        <w:spacing w:before="8"/>
        <w:rPr>
          <w:rFonts w:ascii="Calibri"/>
          <w:b/>
          <w:sz w:val="17"/>
        </w:rPr>
      </w:pPr>
      <w:r>
        <w:rPr>
          <w:noProof/>
        </w:rPr>
        <w:drawing>
          <wp:anchor distT="0" distB="0" distL="0" distR="0" simplePos="0" relativeHeight="251658240" behindDoc="0" locked="0" layoutInCell="1" allowOverlap="1" wp14:anchorId="4D27366E" wp14:editId="74600807">
            <wp:simplePos x="0" y="0"/>
            <wp:positionH relativeFrom="page">
              <wp:posOffset>692150</wp:posOffset>
            </wp:positionH>
            <wp:positionV relativeFrom="paragraph">
              <wp:posOffset>162076</wp:posOffset>
            </wp:positionV>
            <wp:extent cx="1993925" cy="546734"/>
            <wp:effectExtent l="0" t="0" r="0" b="0"/>
            <wp:wrapTopAndBottom/>
            <wp:docPr id="1" name="image1.jpeg" descr="cid:image006.jpg@01D321A2.9CEBE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93925" cy="546734"/>
                    </a:xfrm>
                    <a:prstGeom prst="rect">
                      <a:avLst/>
                    </a:prstGeom>
                  </pic:spPr>
                </pic:pic>
              </a:graphicData>
            </a:graphic>
          </wp:anchor>
        </w:drawing>
      </w:r>
    </w:p>
    <w:p w:rsidR="00EA52D9" w:rsidRDefault="00EA52D9">
      <w:pPr>
        <w:pStyle w:val="BodyText"/>
        <w:spacing w:before="6"/>
        <w:rPr>
          <w:rFonts w:ascii="Calibri"/>
          <w:b/>
          <w:sz w:val="18"/>
        </w:rPr>
      </w:pPr>
    </w:p>
    <w:p w:rsidR="00EA52D9" w:rsidRDefault="00BC7622">
      <w:pPr>
        <w:ind w:left="209"/>
        <w:rPr>
          <w:b/>
        </w:rPr>
      </w:pPr>
      <w:r>
        <w:rPr>
          <w:b/>
          <w:u w:val="thick"/>
        </w:rPr>
        <w:t xml:space="preserve">SOCIAL </w:t>
      </w:r>
      <w:r w:rsidR="00250D81">
        <w:rPr>
          <w:b/>
          <w:u w:val="thick"/>
        </w:rPr>
        <w:t xml:space="preserve">WORK AND HEALTH </w:t>
      </w:r>
      <w:r>
        <w:rPr>
          <w:b/>
          <w:u w:val="thick"/>
        </w:rPr>
        <w:t xml:space="preserve">POLICY DEVELOPMENT </w:t>
      </w:r>
      <w:r>
        <w:rPr>
          <w:b/>
          <w:spacing w:val="-2"/>
          <w:u w:val="thick"/>
        </w:rPr>
        <w:t xml:space="preserve">AND </w:t>
      </w:r>
      <w:r>
        <w:rPr>
          <w:b/>
          <w:u w:val="thick"/>
        </w:rPr>
        <w:t>SCRUTINY</w:t>
      </w:r>
      <w:r>
        <w:rPr>
          <w:b/>
          <w:spacing w:val="-14"/>
          <w:u w:val="thick"/>
        </w:rPr>
        <w:t xml:space="preserve"> </w:t>
      </w:r>
      <w:r>
        <w:rPr>
          <w:b/>
          <w:u w:val="thick"/>
        </w:rPr>
        <w:t>PANEL</w:t>
      </w:r>
    </w:p>
    <w:p w:rsidR="00EA52D9" w:rsidRDefault="00EA52D9">
      <w:pPr>
        <w:pStyle w:val="BodyText"/>
        <w:spacing w:before="10"/>
        <w:rPr>
          <w:b/>
          <w:sz w:val="13"/>
        </w:rPr>
      </w:pPr>
    </w:p>
    <w:p w:rsidR="00EA52D9" w:rsidRDefault="00BC7622">
      <w:pPr>
        <w:spacing w:before="94"/>
        <w:ind w:left="209"/>
        <w:rPr>
          <w:b/>
        </w:rPr>
      </w:pPr>
      <w:r>
        <w:rPr>
          <w:b/>
          <w:u w:val="thick"/>
        </w:rPr>
        <w:t xml:space="preserve">ORGANISATIONAL DUTY OF CANDOUR </w:t>
      </w:r>
      <w:r>
        <w:rPr>
          <w:b/>
          <w:spacing w:val="-2"/>
          <w:u w:val="thick"/>
        </w:rPr>
        <w:t xml:space="preserve">ANNUAL </w:t>
      </w:r>
      <w:r>
        <w:rPr>
          <w:b/>
          <w:u w:val="thick"/>
        </w:rPr>
        <w:t>REPORT</w:t>
      </w:r>
      <w:r>
        <w:rPr>
          <w:b/>
          <w:spacing w:val="-7"/>
          <w:u w:val="thick"/>
        </w:rPr>
        <w:t xml:space="preserve"> </w:t>
      </w:r>
      <w:r>
        <w:rPr>
          <w:b/>
          <w:u w:val="thick"/>
        </w:rPr>
        <w:t>202</w:t>
      </w:r>
      <w:r w:rsidR="003E2F29">
        <w:rPr>
          <w:b/>
          <w:u w:val="thick"/>
        </w:rPr>
        <w:t>5</w:t>
      </w:r>
      <w:r>
        <w:rPr>
          <w:b/>
          <w:u w:val="thick"/>
        </w:rPr>
        <w:t>/2</w:t>
      </w:r>
      <w:r w:rsidR="003E2F29">
        <w:rPr>
          <w:b/>
          <w:u w:val="thick"/>
        </w:rPr>
        <w:t>6</w:t>
      </w:r>
    </w:p>
    <w:p w:rsidR="00EA52D9" w:rsidRDefault="00EA52D9">
      <w:pPr>
        <w:pStyle w:val="BodyText"/>
        <w:spacing w:before="10"/>
        <w:rPr>
          <w:b/>
          <w:sz w:val="13"/>
        </w:rPr>
      </w:pPr>
    </w:p>
    <w:p w:rsidR="00EA52D9" w:rsidRDefault="00BC7622">
      <w:pPr>
        <w:spacing w:before="94"/>
        <w:ind w:left="209"/>
        <w:rPr>
          <w:b/>
        </w:rPr>
      </w:pPr>
      <w:r>
        <w:rPr>
          <w:b/>
          <w:u w:val="thick"/>
        </w:rPr>
        <w:t>REPORT BY HEAD OF SOCIAL POLICY</w:t>
      </w:r>
    </w:p>
    <w:p w:rsidR="00EA52D9" w:rsidRDefault="00EA52D9">
      <w:pPr>
        <w:pStyle w:val="BodyText"/>
        <w:rPr>
          <w:b/>
          <w:sz w:val="20"/>
        </w:rPr>
      </w:pPr>
    </w:p>
    <w:p w:rsidR="00EA52D9" w:rsidRDefault="00EA52D9">
      <w:pPr>
        <w:pStyle w:val="BodyText"/>
        <w:spacing w:before="6"/>
        <w:rPr>
          <w:b/>
        </w:rPr>
      </w:pPr>
    </w:p>
    <w:tbl>
      <w:tblPr>
        <w:tblW w:w="0" w:type="auto"/>
        <w:tblInd w:w="122" w:type="dxa"/>
        <w:tblLayout w:type="fixed"/>
        <w:tblCellMar>
          <w:left w:w="0" w:type="dxa"/>
          <w:right w:w="0" w:type="dxa"/>
        </w:tblCellMar>
        <w:tblLook w:val="01E0" w:firstRow="1" w:lastRow="1" w:firstColumn="1" w:lastColumn="1" w:noHBand="0" w:noVBand="0"/>
      </w:tblPr>
      <w:tblGrid>
        <w:gridCol w:w="735"/>
        <w:gridCol w:w="9244"/>
      </w:tblGrid>
      <w:tr w:rsidR="00EA52D9" w:rsidTr="004C3FC0">
        <w:trPr>
          <w:trHeight w:val="883"/>
        </w:trPr>
        <w:tc>
          <w:tcPr>
            <w:tcW w:w="735" w:type="dxa"/>
          </w:tcPr>
          <w:p w:rsidR="00EA52D9" w:rsidRDefault="00BC7622">
            <w:pPr>
              <w:pStyle w:val="TableParagraph"/>
              <w:spacing w:line="247" w:lineRule="exact"/>
              <w:ind w:left="200"/>
              <w:rPr>
                <w:b/>
              </w:rPr>
            </w:pPr>
            <w:r>
              <w:rPr>
                <w:b/>
              </w:rPr>
              <w:t>A.</w:t>
            </w:r>
          </w:p>
        </w:tc>
        <w:tc>
          <w:tcPr>
            <w:tcW w:w="9244" w:type="dxa"/>
          </w:tcPr>
          <w:p w:rsidR="00EA52D9" w:rsidRDefault="00BC7622">
            <w:pPr>
              <w:pStyle w:val="TableParagraph"/>
              <w:spacing w:line="247" w:lineRule="exact"/>
              <w:ind w:left="317"/>
              <w:rPr>
                <w:b/>
              </w:rPr>
            </w:pPr>
            <w:r>
              <w:rPr>
                <w:b/>
              </w:rPr>
              <w:t>PURPOSE OF REPORT</w:t>
            </w:r>
          </w:p>
          <w:p w:rsidR="00EA52D9" w:rsidRPr="00422B73" w:rsidRDefault="00EA52D9">
            <w:pPr>
              <w:pStyle w:val="TableParagraph"/>
              <w:rPr>
                <w:b/>
                <w:color w:val="FF0000"/>
              </w:rPr>
            </w:pPr>
          </w:p>
          <w:p w:rsidR="00EA52D9" w:rsidRDefault="00BC7622" w:rsidP="009324DF">
            <w:pPr>
              <w:pStyle w:val="TableParagraph"/>
              <w:ind w:left="316" w:right="456"/>
              <w:jc w:val="both"/>
            </w:pPr>
            <w:r w:rsidRPr="001E580E">
              <w:t xml:space="preserve">The report </w:t>
            </w:r>
            <w:r w:rsidR="00422B73" w:rsidRPr="001E580E">
              <w:t xml:space="preserve">presents </w:t>
            </w:r>
            <w:r w:rsidRPr="001E580E">
              <w:t>the annual Duty of Candour report</w:t>
            </w:r>
            <w:r w:rsidR="00422B73" w:rsidRPr="001E580E">
              <w:t xml:space="preserve"> to Social Work and Health PDSP</w:t>
            </w:r>
            <w:r w:rsidR="009A5FAB" w:rsidRPr="00422B73">
              <w:rPr>
                <w:color w:val="FF0000"/>
              </w:rPr>
              <w:t>.</w:t>
            </w:r>
          </w:p>
        </w:tc>
      </w:tr>
      <w:tr w:rsidR="00EA52D9">
        <w:trPr>
          <w:trHeight w:val="2176"/>
        </w:trPr>
        <w:tc>
          <w:tcPr>
            <w:tcW w:w="735" w:type="dxa"/>
          </w:tcPr>
          <w:p w:rsidR="00EA52D9" w:rsidRDefault="00BC7622">
            <w:pPr>
              <w:pStyle w:val="TableParagraph"/>
              <w:spacing w:before="123"/>
              <w:ind w:left="200"/>
              <w:rPr>
                <w:b/>
              </w:rPr>
            </w:pPr>
            <w:r>
              <w:rPr>
                <w:b/>
              </w:rPr>
              <w:t>B.</w:t>
            </w:r>
          </w:p>
        </w:tc>
        <w:tc>
          <w:tcPr>
            <w:tcW w:w="9244" w:type="dxa"/>
          </w:tcPr>
          <w:p w:rsidR="00EA52D9" w:rsidRDefault="00BC7622">
            <w:pPr>
              <w:pStyle w:val="TableParagraph"/>
              <w:spacing w:before="123"/>
              <w:ind w:left="317"/>
              <w:rPr>
                <w:b/>
              </w:rPr>
            </w:pPr>
            <w:r>
              <w:rPr>
                <w:b/>
              </w:rPr>
              <w:t>RECOMMENDATION</w:t>
            </w:r>
          </w:p>
          <w:p w:rsidR="00EA52D9" w:rsidRDefault="00EA52D9">
            <w:pPr>
              <w:pStyle w:val="TableParagraph"/>
              <w:rPr>
                <w:b/>
              </w:rPr>
            </w:pPr>
          </w:p>
          <w:p w:rsidR="00080BB9" w:rsidRDefault="00080BB9" w:rsidP="00080BB9">
            <w:pPr>
              <w:pStyle w:val="TableParagraph"/>
              <w:spacing w:before="1"/>
              <w:ind w:left="317"/>
            </w:pPr>
            <w:r>
              <w:t>It is recommended that the Panel:</w:t>
            </w:r>
          </w:p>
          <w:p w:rsidR="00080BB9" w:rsidRDefault="00080BB9" w:rsidP="00080BB9">
            <w:pPr>
              <w:pStyle w:val="TableParagraph"/>
              <w:spacing w:before="2"/>
              <w:rPr>
                <w:b/>
              </w:rPr>
            </w:pPr>
          </w:p>
          <w:p w:rsidR="00080BB9" w:rsidRDefault="00080BB9" w:rsidP="00080BB9">
            <w:pPr>
              <w:pStyle w:val="TableParagraph"/>
              <w:numPr>
                <w:ilvl w:val="0"/>
                <w:numId w:val="12"/>
              </w:numPr>
              <w:spacing w:line="237" w:lineRule="auto"/>
              <w:ind w:right="456"/>
              <w:jc w:val="both"/>
            </w:pPr>
            <w:r>
              <w:t xml:space="preserve">Notes content of the report and attached </w:t>
            </w:r>
            <w:r w:rsidR="00A2239D">
              <w:t>d</w:t>
            </w:r>
            <w:r>
              <w:t xml:space="preserve">raft </w:t>
            </w:r>
            <w:r w:rsidR="004C3FC0">
              <w:t>D</w:t>
            </w:r>
            <w:r>
              <w:t xml:space="preserve">uty of </w:t>
            </w:r>
            <w:r w:rsidR="004C3FC0">
              <w:t>C</w:t>
            </w:r>
            <w:r w:rsidR="00A2239D">
              <w:t>andour</w:t>
            </w:r>
            <w:r>
              <w:t xml:space="preserve"> </w:t>
            </w:r>
            <w:r w:rsidR="00A2239D">
              <w:t>a</w:t>
            </w:r>
            <w:r>
              <w:t xml:space="preserve">nnual </w:t>
            </w:r>
            <w:r w:rsidR="00A2239D">
              <w:t>r</w:t>
            </w:r>
            <w:r>
              <w:t>eport for 202</w:t>
            </w:r>
            <w:r w:rsidR="003E2F29">
              <w:t>5</w:t>
            </w:r>
            <w:r>
              <w:t>/2</w:t>
            </w:r>
            <w:r w:rsidR="003E2F29">
              <w:t>6</w:t>
            </w:r>
            <w:r>
              <w:t>;</w:t>
            </w:r>
          </w:p>
          <w:p w:rsidR="00080BB9" w:rsidRDefault="00080BB9" w:rsidP="00080BB9">
            <w:pPr>
              <w:pStyle w:val="TableParagraph"/>
              <w:numPr>
                <w:ilvl w:val="0"/>
                <w:numId w:val="12"/>
              </w:numPr>
              <w:spacing w:line="237" w:lineRule="auto"/>
              <w:ind w:right="456"/>
              <w:jc w:val="both"/>
            </w:pPr>
            <w:r>
              <w:t xml:space="preserve">Notes that there have been no incidents which triggered requirements under the </w:t>
            </w:r>
            <w:r w:rsidR="00A2239D">
              <w:t>d</w:t>
            </w:r>
            <w:r>
              <w:t>uty;</w:t>
            </w:r>
          </w:p>
          <w:p w:rsidR="00EA52D9" w:rsidRDefault="00080BB9" w:rsidP="00080BB9">
            <w:pPr>
              <w:pStyle w:val="TableParagraph"/>
              <w:numPr>
                <w:ilvl w:val="0"/>
                <w:numId w:val="12"/>
              </w:numPr>
              <w:spacing w:line="237" w:lineRule="auto"/>
              <w:ind w:right="456"/>
              <w:jc w:val="both"/>
            </w:pPr>
            <w:r>
              <w:t xml:space="preserve">Notes the </w:t>
            </w:r>
            <w:r w:rsidR="00A2239D">
              <w:t>d</w:t>
            </w:r>
            <w:r>
              <w:t xml:space="preserve">raft </w:t>
            </w:r>
            <w:r w:rsidR="00A2239D">
              <w:t>a</w:t>
            </w:r>
            <w:r>
              <w:t>nnual report will be submitted to the Council Executive for approval</w:t>
            </w:r>
            <w:r w:rsidR="004C3FC0">
              <w:t xml:space="preserve"> prior to publication</w:t>
            </w:r>
            <w:r>
              <w:t>.</w:t>
            </w:r>
          </w:p>
          <w:p w:rsidR="00080BB9" w:rsidRDefault="00080BB9" w:rsidP="00080BB9">
            <w:pPr>
              <w:pStyle w:val="TableParagraph"/>
              <w:spacing w:line="237" w:lineRule="auto"/>
              <w:ind w:left="720" w:right="456"/>
              <w:jc w:val="both"/>
            </w:pPr>
          </w:p>
        </w:tc>
      </w:tr>
    </w:tbl>
    <w:p w:rsidR="00EA52D9" w:rsidRDefault="00EA52D9">
      <w:pPr>
        <w:pStyle w:val="BodyText"/>
        <w:rPr>
          <w:b/>
          <w:sz w:val="20"/>
        </w:rPr>
      </w:pPr>
    </w:p>
    <w:p w:rsidR="00EA52D9" w:rsidRDefault="00EA52D9">
      <w:pPr>
        <w:pStyle w:val="BodyText"/>
        <w:spacing w:before="6"/>
        <w:rPr>
          <w:b/>
        </w:rPr>
      </w:pPr>
    </w:p>
    <w:tbl>
      <w:tblPr>
        <w:tblW w:w="0" w:type="auto"/>
        <w:tblInd w:w="122" w:type="dxa"/>
        <w:tblLayout w:type="fixed"/>
        <w:tblCellMar>
          <w:left w:w="0" w:type="dxa"/>
          <w:right w:w="0" w:type="dxa"/>
        </w:tblCellMar>
        <w:tblLook w:val="01E0" w:firstRow="1" w:lastRow="1" w:firstColumn="1" w:lastColumn="1" w:noHBand="0" w:noVBand="0"/>
      </w:tblPr>
      <w:tblGrid>
        <w:gridCol w:w="20"/>
        <w:gridCol w:w="709"/>
        <w:gridCol w:w="6"/>
        <w:gridCol w:w="847"/>
        <w:gridCol w:w="3419"/>
        <w:gridCol w:w="4896"/>
        <w:gridCol w:w="46"/>
      </w:tblGrid>
      <w:tr w:rsidR="00EA52D9" w:rsidTr="005974F2">
        <w:trPr>
          <w:gridAfter w:val="1"/>
          <w:wAfter w:w="46" w:type="dxa"/>
          <w:trHeight w:val="370"/>
        </w:trPr>
        <w:tc>
          <w:tcPr>
            <w:tcW w:w="735" w:type="dxa"/>
            <w:gridSpan w:val="3"/>
          </w:tcPr>
          <w:p w:rsidR="00EA52D9" w:rsidRDefault="00BC7622">
            <w:pPr>
              <w:pStyle w:val="TableParagraph"/>
              <w:spacing w:line="247" w:lineRule="exact"/>
              <w:ind w:left="200"/>
              <w:rPr>
                <w:b/>
              </w:rPr>
            </w:pPr>
            <w:r>
              <w:rPr>
                <w:b/>
              </w:rPr>
              <w:t>C.</w:t>
            </w:r>
          </w:p>
        </w:tc>
        <w:tc>
          <w:tcPr>
            <w:tcW w:w="4266" w:type="dxa"/>
            <w:gridSpan w:val="2"/>
          </w:tcPr>
          <w:p w:rsidR="00EA52D9" w:rsidRDefault="00BC7622">
            <w:pPr>
              <w:pStyle w:val="TableParagraph"/>
              <w:spacing w:line="247" w:lineRule="exact"/>
              <w:ind w:left="317"/>
              <w:rPr>
                <w:b/>
              </w:rPr>
            </w:pPr>
            <w:r>
              <w:rPr>
                <w:b/>
              </w:rPr>
              <w:t>SUMMARY OF IMPLICATIONS</w:t>
            </w:r>
          </w:p>
        </w:tc>
        <w:tc>
          <w:tcPr>
            <w:tcW w:w="4896" w:type="dxa"/>
          </w:tcPr>
          <w:p w:rsidR="00EA52D9" w:rsidRDefault="00EA52D9">
            <w:pPr>
              <w:pStyle w:val="TableParagraph"/>
              <w:rPr>
                <w:rFonts w:ascii="Times New Roman"/>
                <w:sz w:val="20"/>
              </w:rPr>
            </w:pPr>
          </w:p>
        </w:tc>
      </w:tr>
      <w:tr w:rsidR="00B81BB8" w:rsidTr="005974F2">
        <w:trPr>
          <w:gridAfter w:val="1"/>
          <w:wAfter w:w="46" w:type="dxa"/>
          <w:trHeight w:val="999"/>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B81BB8">
            <w:pPr>
              <w:pStyle w:val="TableParagraph"/>
              <w:spacing w:before="117"/>
              <w:ind w:right="149"/>
              <w:jc w:val="center"/>
              <w:rPr>
                <w:b/>
              </w:rPr>
            </w:pPr>
            <w:r>
              <w:rPr>
                <w:b/>
              </w:rPr>
              <w:t>I</w:t>
            </w:r>
          </w:p>
        </w:tc>
        <w:tc>
          <w:tcPr>
            <w:tcW w:w="3419" w:type="dxa"/>
          </w:tcPr>
          <w:p w:rsidR="00B81BB8" w:rsidRDefault="00B81BB8" w:rsidP="00B81BB8">
            <w:pPr>
              <w:pStyle w:val="TableParagraph"/>
              <w:spacing w:before="117"/>
              <w:ind w:left="319"/>
              <w:rPr>
                <w:b/>
              </w:rPr>
            </w:pPr>
            <w:r>
              <w:rPr>
                <w:b/>
              </w:rPr>
              <w:t>Council Values</w:t>
            </w:r>
          </w:p>
        </w:tc>
        <w:tc>
          <w:tcPr>
            <w:tcW w:w="4896" w:type="dxa"/>
          </w:tcPr>
          <w:p w:rsidR="00B81BB8" w:rsidRPr="008D28F7" w:rsidRDefault="00B81BB8" w:rsidP="001A3658">
            <w:r w:rsidRPr="008D28F7">
              <w:t>Caring and Compassionate</w:t>
            </w:r>
          </w:p>
          <w:p w:rsidR="00B81BB8" w:rsidRPr="008D28F7" w:rsidRDefault="00B81BB8" w:rsidP="001A3658">
            <w:r w:rsidRPr="008D28F7">
              <w:t>Open, Honest and Accountable</w:t>
            </w:r>
          </w:p>
          <w:p w:rsidR="00B81BB8" w:rsidRPr="002023F3" w:rsidRDefault="00B81BB8" w:rsidP="001A3658">
            <w:pPr>
              <w:spacing w:after="240"/>
              <w:jc w:val="both"/>
            </w:pPr>
            <w:r w:rsidRPr="008D28F7">
              <w:t>Collaborate, Inclusive and Adaptive</w:t>
            </w:r>
          </w:p>
        </w:tc>
      </w:tr>
      <w:tr w:rsidR="00B81BB8" w:rsidTr="005974F2">
        <w:trPr>
          <w:gridAfter w:val="1"/>
          <w:wAfter w:w="46" w:type="dxa"/>
          <w:trHeight w:val="1731"/>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B81BB8">
            <w:pPr>
              <w:pStyle w:val="TableParagraph"/>
              <w:spacing w:before="116"/>
              <w:ind w:left="213" w:right="299"/>
              <w:jc w:val="center"/>
              <w:rPr>
                <w:b/>
              </w:rPr>
            </w:pPr>
            <w:r>
              <w:rPr>
                <w:b/>
              </w:rPr>
              <w:t>II</w:t>
            </w:r>
          </w:p>
        </w:tc>
        <w:tc>
          <w:tcPr>
            <w:tcW w:w="3419" w:type="dxa"/>
          </w:tcPr>
          <w:p w:rsidR="00B81BB8" w:rsidRDefault="00B81BB8" w:rsidP="00B81BB8">
            <w:pPr>
              <w:pStyle w:val="TableParagraph"/>
              <w:tabs>
                <w:tab w:val="left" w:pos="2368"/>
              </w:tabs>
              <w:spacing w:before="116"/>
              <w:ind w:left="319" w:right="194"/>
              <w:jc w:val="both"/>
              <w:rPr>
                <w:b/>
              </w:rPr>
            </w:pPr>
            <w:r>
              <w:rPr>
                <w:b/>
              </w:rPr>
              <w:t>Policy and Legal (including Strategic Environmental Assessment,</w:t>
            </w:r>
            <w:r>
              <w:rPr>
                <w:b/>
              </w:rPr>
              <w:tab/>
            </w:r>
            <w:r>
              <w:rPr>
                <w:b/>
                <w:spacing w:val="-4"/>
              </w:rPr>
              <w:t xml:space="preserve">Equality </w:t>
            </w:r>
            <w:r>
              <w:rPr>
                <w:b/>
              </w:rPr>
              <w:t>Issues, Health or Risk Assessment)</w:t>
            </w:r>
          </w:p>
        </w:tc>
        <w:tc>
          <w:tcPr>
            <w:tcW w:w="4896" w:type="dxa"/>
          </w:tcPr>
          <w:p w:rsidR="00B81BB8" w:rsidRPr="004454AC" w:rsidRDefault="00B81BB8" w:rsidP="00B81BB8">
            <w:pPr>
              <w:pStyle w:val="TableParagraph"/>
              <w:ind w:left="195" w:right="180"/>
              <w:jc w:val="both"/>
              <w:rPr>
                <w:sz w:val="16"/>
                <w:szCs w:val="16"/>
              </w:rPr>
            </w:pPr>
          </w:p>
          <w:p w:rsidR="003E2F29" w:rsidRDefault="003E2F29" w:rsidP="003E2F29">
            <w:pPr>
              <w:pStyle w:val="TableParagraph"/>
              <w:spacing w:line="276" w:lineRule="auto"/>
              <w:ind w:right="381"/>
              <w:jc w:val="both"/>
            </w:pPr>
            <w:r>
              <w:t xml:space="preserve">Duty of </w:t>
            </w:r>
            <w:proofErr w:type="spellStart"/>
            <w:r>
              <w:t>Candour</w:t>
            </w:r>
            <w:proofErr w:type="spellEnd"/>
            <w:r>
              <w:t xml:space="preserve"> in the Health (Tobacco, Nicotine etc. and Care) (Scotland) Act 2016 and related Regulations</w:t>
            </w:r>
          </w:p>
          <w:p w:rsidR="00B81BB8" w:rsidRDefault="00B81BB8" w:rsidP="001A3658">
            <w:pPr>
              <w:pStyle w:val="TableParagraph"/>
              <w:spacing w:line="276" w:lineRule="auto"/>
              <w:ind w:right="381"/>
              <w:jc w:val="both"/>
            </w:pPr>
            <w:r>
              <w:t>Compensation Act 2006, Sections 3 and 16(3) to (6), which are extended to Scotland</w:t>
            </w:r>
          </w:p>
          <w:p w:rsidR="00B81BB8" w:rsidRDefault="00B81BB8" w:rsidP="001A3658">
            <w:pPr>
              <w:pStyle w:val="TableParagraph"/>
              <w:spacing w:line="276" w:lineRule="auto"/>
              <w:ind w:right="381"/>
              <w:jc w:val="both"/>
            </w:pPr>
            <w:r>
              <w:t>Adults with Incapacity (Scotland) Act 2000</w:t>
            </w:r>
          </w:p>
          <w:p w:rsidR="00B81BB8" w:rsidRDefault="00B81BB8" w:rsidP="001A3658">
            <w:pPr>
              <w:pStyle w:val="TableParagraph"/>
              <w:spacing w:line="276" w:lineRule="auto"/>
              <w:ind w:right="381"/>
              <w:jc w:val="both"/>
            </w:pPr>
            <w:r>
              <w:t>Apologies (Scotland) Act 2016</w:t>
            </w:r>
          </w:p>
          <w:p w:rsidR="00B81BB8" w:rsidRDefault="00B81BB8" w:rsidP="001A3658">
            <w:pPr>
              <w:pStyle w:val="TableParagraph"/>
              <w:spacing w:line="276" w:lineRule="auto"/>
              <w:ind w:right="381"/>
              <w:jc w:val="both"/>
            </w:pPr>
            <w:r w:rsidRPr="00384D7F">
              <w:t>Delivery of adult and older people social work and social care services and associated decisions is delegated to West Lothian Integration Joint Board under the Public Bodies (Joint Working) (Scotland) Act 2014</w:t>
            </w:r>
          </w:p>
        </w:tc>
      </w:tr>
      <w:tr w:rsidR="00B81BB8" w:rsidTr="005974F2">
        <w:trPr>
          <w:gridAfter w:val="1"/>
          <w:wAfter w:w="46" w:type="dxa"/>
          <w:trHeight w:val="746"/>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B81BB8">
            <w:pPr>
              <w:pStyle w:val="TableParagraph"/>
              <w:spacing w:before="116"/>
              <w:ind w:left="271" w:right="299"/>
              <w:jc w:val="center"/>
              <w:rPr>
                <w:b/>
              </w:rPr>
            </w:pPr>
            <w:r>
              <w:rPr>
                <w:b/>
              </w:rPr>
              <w:t>III</w:t>
            </w:r>
          </w:p>
        </w:tc>
        <w:tc>
          <w:tcPr>
            <w:tcW w:w="3419" w:type="dxa"/>
          </w:tcPr>
          <w:p w:rsidR="00B81BB8" w:rsidRDefault="00B81BB8" w:rsidP="00B81BB8">
            <w:pPr>
              <w:pStyle w:val="TableParagraph"/>
              <w:spacing w:before="116"/>
              <w:ind w:left="319"/>
              <w:rPr>
                <w:b/>
              </w:rPr>
            </w:pPr>
            <w:r>
              <w:rPr>
                <w:b/>
              </w:rPr>
              <w:t>Implications for Scheme of Delegations to Officers</w:t>
            </w:r>
          </w:p>
        </w:tc>
        <w:tc>
          <w:tcPr>
            <w:tcW w:w="4896" w:type="dxa"/>
          </w:tcPr>
          <w:p w:rsidR="00B81BB8" w:rsidRDefault="00B81BB8" w:rsidP="004E756C">
            <w:pPr>
              <w:pStyle w:val="TableParagraph"/>
              <w:spacing w:before="116"/>
            </w:pPr>
            <w:r>
              <w:t>None</w:t>
            </w:r>
          </w:p>
        </w:tc>
      </w:tr>
      <w:tr w:rsidR="00B81BB8" w:rsidTr="005974F2">
        <w:trPr>
          <w:gridAfter w:val="1"/>
          <w:wAfter w:w="46" w:type="dxa"/>
          <w:trHeight w:val="746"/>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B81BB8">
            <w:pPr>
              <w:pStyle w:val="TableParagraph"/>
              <w:spacing w:before="116"/>
              <w:ind w:left="297" w:right="297"/>
              <w:jc w:val="center"/>
              <w:rPr>
                <w:b/>
              </w:rPr>
            </w:pPr>
            <w:r>
              <w:rPr>
                <w:b/>
              </w:rPr>
              <w:t>IV</w:t>
            </w:r>
          </w:p>
        </w:tc>
        <w:tc>
          <w:tcPr>
            <w:tcW w:w="3419" w:type="dxa"/>
          </w:tcPr>
          <w:p w:rsidR="00B81BB8" w:rsidRDefault="00B81BB8" w:rsidP="00B81BB8">
            <w:pPr>
              <w:pStyle w:val="TableParagraph"/>
              <w:spacing w:before="116"/>
              <w:ind w:left="319" w:right="194"/>
              <w:rPr>
                <w:b/>
              </w:rPr>
            </w:pPr>
            <w:r>
              <w:rPr>
                <w:b/>
              </w:rPr>
              <w:t>Impact on performance and performance Indicators</w:t>
            </w:r>
          </w:p>
        </w:tc>
        <w:tc>
          <w:tcPr>
            <w:tcW w:w="4896" w:type="dxa"/>
          </w:tcPr>
          <w:p w:rsidR="00B81BB8" w:rsidRDefault="00B81BB8" w:rsidP="004E756C">
            <w:pPr>
              <w:pStyle w:val="TableParagraph"/>
              <w:spacing w:before="116"/>
              <w:ind w:right="381"/>
              <w:jc w:val="both"/>
            </w:pPr>
            <w:r>
              <w:t>The Act places emphasis on learning, change and improvement</w:t>
            </w:r>
          </w:p>
        </w:tc>
      </w:tr>
      <w:tr w:rsidR="00B81BB8" w:rsidTr="001155B3">
        <w:trPr>
          <w:gridAfter w:val="1"/>
          <w:wAfter w:w="46" w:type="dxa"/>
          <w:trHeight w:val="621"/>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1155B3">
            <w:pPr>
              <w:pStyle w:val="TableParagraph"/>
              <w:spacing w:before="116"/>
              <w:ind w:right="63"/>
              <w:jc w:val="center"/>
              <w:rPr>
                <w:b/>
              </w:rPr>
            </w:pPr>
            <w:r>
              <w:rPr>
                <w:b/>
              </w:rPr>
              <w:t>V</w:t>
            </w:r>
          </w:p>
        </w:tc>
        <w:tc>
          <w:tcPr>
            <w:tcW w:w="3419" w:type="dxa"/>
          </w:tcPr>
          <w:p w:rsidR="00B81BB8" w:rsidRDefault="00B81BB8" w:rsidP="001155B3">
            <w:pPr>
              <w:pStyle w:val="TableParagraph"/>
              <w:tabs>
                <w:tab w:val="left" w:pos="1881"/>
                <w:tab w:val="left" w:pos="2563"/>
              </w:tabs>
              <w:spacing w:before="121" w:line="252" w:lineRule="exact"/>
              <w:ind w:left="319" w:right="193"/>
              <w:rPr>
                <w:b/>
              </w:rPr>
            </w:pPr>
            <w:r>
              <w:rPr>
                <w:b/>
              </w:rPr>
              <w:t>Relevance</w:t>
            </w:r>
            <w:r>
              <w:rPr>
                <w:b/>
              </w:rPr>
              <w:tab/>
              <w:t>to</w:t>
            </w:r>
            <w:r>
              <w:rPr>
                <w:b/>
              </w:rPr>
              <w:tab/>
            </w:r>
            <w:r>
              <w:rPr>
                <w:b/>
                <w:spacing w:val="-5"/>
              </w:rPr>
              <w:t xml:space="preserve">Single </w:t>
            </w:r>
            <w:r>
              <w:rPr>
                <w:b/>
              </w:rPr>
              <w:t>Outcome</w:t>
            </w:r>
            <w:r>
              <w:rPr>
                <w:b/>
                <w:spacing w:val="2"/>
              </w:rPr>
              <w:t xml:space="preserve"> </w:t>
            </w:r>
            <w:r>
              <w:rPr>
                <w:b/>
              </w:rPr>
              <w:t>Agreement</w:t>
            </w:r>
          </w:p>
        </w:tc>
        <w:tc>
          <w:tcPr>
            <w:tcW w:w="4896" w:type="dxa"/>
            <w:vAlign w:val="center"/>
          </w:tcPr>
          <w:p w:rsidR="00B81BB8" w:rsidRDefault="00B81BB8" w:rsidP="00B121AF">
            <w:pPr>
              <w:pStyle w:val="TableParagraph"/>
              <w:spacing w:before="116"/>
            </w:pPr>
            <w:r>
              <w:t>None</w:t>
            </w:r>
          </w:p>
        </w:tc>
      </w:tr>
      <w:tr w:rsidR="00B81BB8" w:rsidTr="00B121AF">
        <w:trPr>
          <w:gridAfter w:val="1"/>
          <w:wAfter w:w="46" w:type="dxa"/>
          <w:trHeight w:val="621"/>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1155B3">
            <w:pPr>
              <w:pStyle w:val="TableParagraph"/>
              <w:spacing w:before="116" w:line="247" w:lineRule="exact"/>
              <w:ind w:left="55" w:right="238"/>
              <w:jc w:val="center"/>
              <w:rPr>
                <w:b/>
              </w:rPr>
            </w:pPr>
            <w:r>
              <w:rPr>
                <w:b/>
              </w:rPr>
              <w:t>VI</w:t>
            </w:r>
          </w:p>
        </w:tc>
        <w:tc>
          <w:tcPr>
            <w:tcW w:w="3419" w:type="dxa"/>
          </w:tcPr>
          <w:p w:rsidR="00B81BB8" w:rsidRDefault="00B81BB8" w:rsidP="001155B3">
            <w:pPr>
              <w:pStyle w:val="TableParagraph"/>
              <w:spacing w:before="117" w:line="240" w:lineRule="exact"/>
              <w:ind w:left="318" w:right="193"/>
              <w:rPr>
                <w:b/>
              </w:rPr>
            </w:pPr>
            <w:r>
              <w:rPr>
                <w:b/>
              </w:rPr>
              <w:t>Resources - (Financial, Staffing and Property)</w:t>
            </w:r>
          </w:p>
        </w:tc>
        <w:tc>
          <w:tcPr>
            <w:tcW w:w="4896" w:type="dxa"/>
            <w:vAlign w:val="center"/>
          </w:tcPr>
          <w:p w:rsidR="00B81BB8" w:rsidRDefault="00B81BB8" w:rsidP="00B121AF">
            <w:pPr>
              <w:pStyle w:val="TableParagraph"/>
              <w:spacing w:line="247" w:lineRule="exact"/>
            </w:pPr>
            <w:r>
              <w:t>None</w:t>
            </w:r>
          </w:p>
        </w:tc>
      </w:tr>
      <w:tr w:rsidR="00B81BB8" w:rsidTr="00B121AF">
        <w:trPr>
          <w:gridAfter w:val="1"/>
          <w:wAfter w:w="46" w:type="dxa"/>
          <w:trHeight w:val="621"/>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1155B3">
            <w:pPr>
              <w:pStyle w:val="TableParagraph"/>
              <w:spacing w:before="116"/>
              <w:ind w:left="119" w:right="238"/>
              <w:jc w:val="center"/>
              <w:rPr>
                <w:b/>
              </w:rPr>
            </w:pPr>
            <w:r>
              <w:rPr>
                <w:b/>
              </w:rPr>
              <w:t>VII</w:t>
            </w:r>
          </w:p>
        </w:tc>
        <w:tc>
          <w:tcPr>
            <w:tcW w:w="3419" w:type="dxa"/>
          </w:tcPr>
          <w:p w:rsidR="00B81BB8" w:rsidRDefault="00B81BB8" w:rsidP="001155B3">
            <w:pPr>
              <w:pStyle w:val="TableParagraph"/>
              <w:spacing w:before="120"/>
              <w:ind w:left="318" w:right="204"/>
              <w:rPr>
                <w:b/>
              </w:rPr>
            </w:pPr>
            <w:r>
              <w:rPr>
                <w:b/>
              </w:rPr>
              <w:t>Consideration at PDSP</w:t>
            </w:r>
          </w:p>
        </w:tc>
        <w:tc>
          <w:tcPr>
            <w:tcW w:w="4896" w:type="dxa"/>
            <w:vAlign w:val="center"/>
          </w:tcPr>
          <w:p w:rsidR="00B81BB8" w:rsidRDefault="00A2239D" w:rsidP="00B121AF">
            <w:pPr>
              <w:pStyle w:val="TableParagraph"/>
              <w:spacing w:before="116"/>
              <w:ind w:right="239"/>
            </w:pPr>
            <w:r>
              <w:t>Annually</w:t>
            </w:r>
          </w:p>
        </w:tc>
      </w:tr>
      <w:tr w:rsidR="00B81BB8" w:rsidTr="00B121AF">
        <w:trPr>
          <w:gridAfter w:val="1"/>
          <w:wAfter w:w="46" w:type="dxa"/>
          <w:trHeight w:val="621"/>
        </w:trPr>
        <w:tc>
          <w:tcPr>
            <w:tcW w:w="735" w:type="dxa"/>
            <w:gridSpan w:val="3"/>
          </w:tcPr>
          <w:p w:rsidR="00B81BB8" w:rsidRDefault="00B81BB8" w:rsidP="00B81BB8">
            <w:pPr>
              <w:pStyle w:val="TableParagraph"/>
              <w:rPr>
                <w:rFonts w:ascii="Times New Roman"/>
                <w:sz w:val="20"/>
              </w:rPr>
            </w:pPr>
          </w:p>
        </w:tc>
        <w:tc>
          <w:tcPr>
            <w:tcW w:w="847" w:type="dxa"/>
          </w:tcPr>
          <w:p w:rsidR="00B81BB8" w:rsidRDefault="00B81BB8" w:rsidP="001155B3">
            <w:pPr>
              <w:pStyle w:val="TableParagraph"/>
              <w:spacing w:before="116"/>
              <w:ind w:left="180" w:right="236"/>
              <w:jc w:val="center"/>
              <w:rPr>
                <w:b/>
              </w:rPr>
            </w:pPr>
            <w:r>
              <w:rPr>
                <w:b/>
              </w:rPr>
              <w:t>VIII</w:t>
            </w:r>
          </w:p>
        </w:tc>
        <w:tc>
          <w:tcPr>
            <w:tcW w:w="3419" w:type="dxa"/>
          </w:tcPr>
          <w:p w:rsidR="00B81BB8" w:rsidRDefault="00B81BB8" w:rsidP="001155B3">
            <w:pPr>
              <w:pStyle w:val="TableParagraph"/>
              <w:spacing w:before="117"/>
              <w:ind w:left="318" w:right="193"/>
              <w:rPr>
                <w:b/>
              </w:rPr>
            </w:pPr>
            <w:r>
              <w:rPr>
                <w:b/>
              </w:rPr>
              <w:t>Other consultations</w:t>
            </w:r>
          </w:p>
        </w:tc>
        <w:tc>
          <w:tcPr>
            <w:tcW w:w="4896" w:type="dxa"/>
            <w:vAlign w:val="center"/>
          </w:tcPr>
          <w:p w:rsidR="00B81BB8" w:rsidRPr="00560CB3" w:rsidRDefault="00B81BB8" w:rsidP="00B121AF">
            <w:pPr>
              <w:pStyle w:val="TableParagraph"/>
              <w:ind w:left="280" w:right="198"/>
              <w:rPr>
                <w:sz w:val="10"/>
                <w:szCs w:val="10"/>
                <w:highlight w:val="yellow"/>
              </w:rPr>
            </w:pPr>
          </w:p>
          <w:p w:rsidR="00B81BB8" w:rsidRDefault="001E580E" w:rsidP="00B121AF">
            <w:pPr>
              <w:pStyle w:val="TableParagraph"/>
              <w:ind w:right="456"/>
            </w:pPr>
            <w:r>
              <w:t>None</w:t>
            </w:r>
          </w:p>
          <w:p w:rsidR="00B81BB8" w:rsidRPr="0062282A" w:rsidRDefault="00B81BB8" w:rsidP="00B121AF">
            <w:pPr>
              <w:pStyle w:val="TableParagraph"/>
              <w:spacing w:before="124"/>
              <w:ind w:left="280" w:right="198"/>
            </w:pPr>
          </w:p>
        </w:tc>
      </w:tr>
      <w:tr w:rsidR="00B81BB8" w:rsidTr="005974F2">
        <w:trPr>
          <w:gridAfter w:val="1"/>
          <w:wAfter w:w="46" w:type="dxa"/>
          <w:trHeight w:val="621"/>
        </w:trPr>
        <w:tc>
          <w:tcPr>
            <w:tcW w:w="735" w:type="dxa"/>
            <w:gridSpan w:val="3"/>
          </w:tcPr>
          <w:p w:rsidR="00B81BB8" w:rsidRDefault="00B81BB8" w:rsidP="00B81BB8">
            <w:pPr>
              <w:pStyle w:val="TableParagraph"/>
              <w:spacing w:line="247" w:lineRule="exact"/>
              <w:ind w:left="200"/>
              <w:rPr>
                <w:b/>
              </w:rPr>
            </w:pPr>
            <w:r>
              <w:rPr>
                <w:b/>
              </w:rPr>
              <w:t>D.</w:t>
            </w:r>
          </w:p>
        </w:tc>
        <w:tc>
          <w:tcPr>
            <w:tcW w:w="9162" w:type="dxa"/>
            <w:gridSpan w:val="3"/>
          </w:tcPr>
          <w:p w:rsidR="00B81BB8" w:rsidRDefault="00B81BB8" w:rsidP="00B81BB8">
            <w:pPr>
              <w:pStyle w:val="TableParagraph"/>
              <w:spacing w:line="247" w:lineRule="exact"/>
              <w:ind w:left="254"/>
              <w:rPr>
                <w:b/>
              </w:rPr>
            </w:pPr>
            <w:r>
              <w:rPr>
                <w:b/>
              </w:rPr>
              <w:t>TERMS OF REPORT</w:t>
            </w:r>
          </w:p>
          <w:p w:rsidR="00B81BB8" w:rsidRDefault="00B81BB8" w:rsidP="00B81BB8">
            <w:pPr>
              <w:pStyle w:val="TableParagraph"/>
              <w:spacing w:line="247" w:lineRule="exact"/>
              <w:ind w:left="254"/>
              <w:rPr>
                <w:b/>
              </w:rPr>
            </w:pPr>
          </w:p>
        </w:tc>
      </w:tr>
      <w:tr w:rsidR="00A2239D" w:rsidTr="005974F2">
        <w:trPr>
          <w:gridAfter w:val="1"/>
          <w:wAfter w:w="46" w:type="dxa"/>
          <w:trHeight w:val="621"/>
        </w:trPr>
        <w:tc>
          <w:tcPr>
            <w:tcW w:w="735" w:type="dxa"/>
            <w:gridSpan w:val="3"/>
          </w:tcPr>
          <w:p w:rsidR="00A2239D" w:rsidRDefault="00A2239D" w:rsidP="00A2239D">
            <w:pPr>
              <w:pStyle w:val="TableParagraph"/>
              <w:spacing w:line="247" w:lineRule="exact"/>
              <w:rPr>
                <w:b/>
              </w:rPr>
            </w:pPr>
            <w:r>
              <w:rPr>
                <w:b/>
              </w:rPr>
              <w:t xml:space="preserve">    1</w:t>
            </w:r>
          </w:p>
        </w:tc>
        <w:tc>
          <w:tcPr>
            <w:tcW w:w="9162" w:type="dxa"/>
            <w:gridSpan w:val="3"/>
          </w:tcPr>
          <w:p w:rsidR="00A2239D" w:rsidRDefault="004C3FC0" w:rsidP="004C3FC0">
            <w:pPr>
              <w:pStyle w:val="TableParagraph"/>
              <w:spacing w:before="57"/>
              <w:ind w:right="239"/>
              <w:jc w:val="both"/>
              <w:rPr>
                <w:b/>
              </w:rPr>
            </w:pPr>
            <w:r>
              <w:rPr>
                <w:b/>
              </w:rPr>
              <w:t xml:space="preserve"> </w:t>
            </w:r>
            <w:r w:rsidR="00A2239D">
              <w:rPr>
                <w:b/>
              </w:rPr>
              <w:t>Background</w:t>
            </w:r>
          </w:p>
        </w:tc>
      </w:tr>
      <w:tr w:rsidR="00B81BB8" w:rsidTr="000778DE">
        <w:trPr>
          <w:gridAfter w:val="1"/>
          <w:wAfter w:w="46" w:type="dxa"/>
          <w:trHeight w:val="5491"/>
        </w:trPr>
        <w:tc>
          <w:tcPr>
            <w:tcW w:w="735" w:type="dxa"/>
            <w:gridSpan w:val="3"/>
          </w:tcPr>
          <w:p w:rsidR="00B81BB8" w:rsidRDefault="00B81BB8" w:rsidP="000778DE">
            <w:pPr>
              <w:pStyle w:val="TableParagraph"/>
              <w:spacing w:before="74"/>
              <w:jc w:val="center"/>
            </w:pPr>
            <w:r w:rsidRPr="00250D81">
              <w:t>1.1</w:t>
            </w:r>
          </w:p>
          <w:p w:rsidR="00B81BB8" w:rsidRDefault="00B81BB8" w:rsidP="000778DE">
            <w:pPr>
              <w:pStyle w:val="TableParagraph"/>
              <w:ind w:left="200"/>
              <w:jc w:val="center"/>
            </w:pPr>
          </w:p>
          <w:p w:rsidR="00B81BB8" w:rsidRPr="009324DF" w:rsidRDefault="00B81BB8" w:rsidP="000778DE">
            <w:pPr>
              <w:pStyle w:val="TableParagraph"/>
              <w:ind w:left="200"/>
              <w:jc w:val="center"/>
              <w:rPr>
                <w:sz w:val="18"/>
                <w:szCs w:val="18"/>
              </w:rPr>
            </w:pPr>
          </w:p>
          <w:p w:rsidR="00B81BB8" w:rsidRPr="006A260A" w:rsidRDefault="00B81BB8" w:rsidP="000778DE">
            <w:pPr>
              <w:pStyle w:val="TableParagraph"/>
              <w:spacing w:before="74"/>
              <w:ind w:left="200"/>
              <w:jc w:val="center"/>
              <w:rPr>
                <w:sz w:val="8"/>
                <w:szCs w:val="8"/>
              </w:rPr>
            </w:pPr>
          </w:p>
          <w:p w:rsidR="00B81BB8" w:rsidRDefault="00B81BB8" w:rsidP="000778DE">
            <w:pPr>
              <w:pStyle w:val="TableParagraph"/>
              <w:jc w:val="center"/>
            </w:pPr>
            <w:r>
              <w:t>1.2</w:t>
            </w:r>
          </w:p>
          <w:p w:rsidR="00B81BB8" w:rsidRDefault="00B81BB8" w:rsidP="000778DE">
            <w:pPr>
              <w:pStyle w:val="TableParagraph"/>
              <w:spacing w:before="74"/>
              <w:ind w:left="200"/>
              <w:jc w:val="center"/>
            </w:pPr>
          </w:p>
          <w:p w:rsidR="00B81BB8" w:rsidRPr="009324DF" w:rsidRDefault="00B81BB8" w:rsidP="000778DE">
            <w:pPr>
              <w:pStyle w:val="TableParagraph"/>
              <w:spacing w:before="74"/>
              <w:ind w:left="200"/>
              <w:jc w:val="center"/>
              <w:rPr>
                <w:sz w:val="24"/>
                <w:szCs w:val="24"/>
              </w:rPr>
            </w:pPr>
          </w:p>
          <w:p w:rsidR="00B81BB8" w:rsidRDefault="00B81BB8" w:rsidP="000778DE">
            <w:pPr>
              <w:pStyle w:val="TableParagraph"/>
              <w:spacing w:before="74"/>
              <w:jc w:val="center"/>
            </w:pPr>
            <w:r>
              <w:t>1.3</w:t>
            </w:r>
          </w:p>
          <w:p w:rsidR="00B81BB8" w:rsidRDefault="00B81BB8" w:rsidP="000778DE">
            <w:pPr>
              <w:pStyle w:val="TableParagraph"/>
              <w:spacing w:before="74"/>
              <w:ind w:left="200"/>
              <w:jc w:val="center"/>
            </w:pPr>
          </w:p>
          <w:p w:rsidR="00B81BB8" w:rsidRDefault="00B81BB8" w:rsidP="000778DE">
            <w:pPr>
              <w:pStyle w:val="TableParagraph"/>
              <w:spacing w:before="74"/>
              <w:ind w:left="200"/>
              <w:jc w:val="center"/>
            </w:pPr>
          </w:p>
          <w:p w:rsidR="00B81BB8" w:rsidRDefault="00B81BB8" w:rsidP="000778DE">
            <w:pPr>
              <w:pStyle w:val="TableParagraph"/>
              <w:spacing w:before="74"/>
              <w:jc w:val="center"/>
            </w:pPr>
            <w:r>
              <w:t>1.4</w:t>
            </w:r>
          </w:p>
          <w:p w:rsidR="00955072" w:rsidRDefault="00955072" w:rsidP="000778DE">
            <w:pPr>
              <w:pStyle w:val="TableParagraph"/>
              <w:spacing w:before="74"/>
              <w:ind w:left="200"/>
              <w:jc w:val="center"/>
            </w:pPr>
          </w:p>
          <w:p w:rsidR="00955072" w:rsidRDefault="00955072" w:rsidP="000778DE">
            <w:pPr>
              <w:pStyle w:val="TableParagraph"/>
              <w:spacing w:before="74"/>
              <w:ind w:left="200"/>
              <w:jc w:val="center"/>
            </w:pPr>
          </w:p>
          <w:p w:rsidR="00955072" w:rsidRDefault="00955072" w:rsidP="000778DE">
            <w:pPr>
              <w:pStyle w:val="TableParagraph"/>
              <w:spacing w:before="74"/>
              <w:ind w:left="200"/>
              <w:jc w:val="center"/>
            </w:pPr>
          </w:p>
          <w:p w:rsidR="00955072" w:rsidRPr="009A287A" w:rsidRDefault="00955072" w:rsidP="000778DE">
            <w:pPr>
              <w:pStyle w:val="TableParagraph"/>
              <w:spacing w:before="74"/>
              <w:ind w:left="200"/>
              <w:jc w:val="center"/>
              <w:rPr>
                <w:sz w:val="14"/>
                <w:szCs w:val="14"/>
              </w:rPr>
            </w:pPr>
          </w:p>
          <w:p w:rsidR="00955072" w:rsidRDefault="00955072" w:rsidP="000778DE">
            <w:pPr>
              <w:pStyle w:val="TableParagraph"/>
              <w:spacing w:before="74"/>
              <w:jc w:val="center"/>
            </w:pPr>
            <w:r>
              <w:t>1.5</w:t>
            </w:r>
          </w:p>
          <w:p w:rsidR="00BB0690" w:rsidRDefault="00BB0690" w:rsidP="000778DE">
            <w:pPr>
              <w:pStyle w:val="TableParagraph"/>
              <w:spacing w:before="74"/>
              <w:ind w:left="200"/>
              <w:jc w:val="center"/>
            </w:pPr>
          </w:p>
          <w:p w:rsidR="00BB0690" w:rsidRPr="00250D81" w:rsidRDefault="00BB0690" w:rsidP="000778DE">
            <w:pPr>
              <w:pStyle w:val="TableParagraph"/>
              <w:spacing w:before="74"/>
              <w:jc w:val="center"/>
            </w:pPr>
          </w:p>
        </w:tc>
        <w:tc>
          <w:tcPr>
            <w:tcW w:w="9162" w:type="dxa"/>
            <w:gridSpan w:val="3"/>
          </w:tcPr>
          <w:p w:rsidR="00B81BB8" w:rsidRDefault="00B81BB8" w:rsidP="00A2239D">
            <w:pPr>
              <w:pStyle w:val="TableParagraph"/>
              <w:spacing w:before="57"/>
              <w:ind w:right="239"/>
              <w:jc w:val="both"/>
              <w:rPr>
                <w:b/>
              </w:rPr>
            </w:pPr>
            <w:r>
              <w:t>The West Lothian Integration Joint Board (IJB) is responsible for the strategic planning and delivery of adult and older people social work and social care services. This report includes the delivery of IJB and non IJB services.</w:t>
            </w:r>
          </w:p>
          <w:p w:rsidR="00B81BB8" w:rsidRDefault="00B81BB8" w:rsidP="00A2239D">
            <w:pPr>
              <w:pStyle w:val="TableParagraph"/>
              <w:spacing w:before="138"/>
              <w:ind w:right="239"/>
              <w:jc w:val="both"/>
            </w:pPr>
            <w:r>
              <w:t>The Duty of Cando</w:t>
            </w:r>
            <w:r w:rsidRPr="009A5FAB">
              <w:t xml:space="preserve">ur provisions </w:t>
            </w:r>
            <w:r>
              <w:t>came into effect on 1 April 2018 under the Health (Tobacco, Nicotine etc. and Care) (Scotland) Act 2016 and related Regulations. The Duty applies to health, care and social work organisations.</w:t>
            </w:r>
          </w:p>
          <w:p w:rsidR="00B81BB8" w:rsidRDefault="00B81BB8" w:rsidP="00B81BB8">
            <w:pPr>
              <w:pStyle w:val="TableParagraph"/>
              <w:spacing w:before="10"/>
              <w:ind w:right="239"/>
              <w:jc w:val="both"/>
              <w:rPr>
                <w:rFonts w:ascii="Times New Roman"/>
                <w:sz w:val="21"/>
              </w:rPr>
            </w:pPr>
          </w:p>
          <w:p w:rsidR="00B81BB8" w:rsidRDefault="00B81BB8" w:rsidP="00A2239D">
            <w:pPr>
              <w:pStyle w:val="TableParagraph"/>
              <w:ind w:right="239"/>
              <w:jc w:val="both"/>
            </w:pPr>
            <w:r>
              <w:t>The overall purpose of the Duty is to ensure that organisations are open, honest and supportive when there is an unexpected or unintended incident resulting in harm or death to an individual, as defined by the Act.</w:t>
            </w:r>
          </w:p>
          <w:p w:rsidR="00B81BB8" w:rsidRDefault="00B81BB8" w:rsidP="00B81BB8">
            <w:pPr>
              <w:pStyle w:val="TableParagraph"/>
              <w:spacing w:before="1"/>
              <w:ind w:right="239"/>
              <w:jc w:val="both"/>
              <w:rPr>
                <w:rFonts w:ascii="Times New Roman"/>
              </w:rPr>
            </w:pPr>
          </w:p>
          <w:p w:rsidR="009C7F13" w:rsidRDefault="00B81BB8" w:rsidP="00A2239D">
            <w:pPr>
              <w:pStyle w:val="TableParagraph"/>
              <w:ind w:right="239"/>
              <w:jc w:val="both"/>
            </w:pPr>
            <w:r>
              <w:t xml:space="preserve">The Duty of Candour provisions set out a range of </w:t>
            </w:r>
            <w:r w:rsidR="00A71C58">
              <w:t>actions</w:t>
            </w:r>
            <w:r>
              <w:t xml:space="preserve"> that need to happen when unexpected or unintended harm has occurred. The duty creates a legal requirement for health and social care organisations to inform people when they have been harmed as a result of an unintended or unexpected event from their care and which is unrelated to their illness or</w:t>
            </w:r>
            <w:r>
              <w:rPr>
                <w:spacing w:val="1"/>
              </w:rPr>
              <w:t xml:space="preserve"> </w:t>
            </w:r>
            <w:r>
              <w:t>condition.</w:t>
            </w:r>
          </w:p>
          <w:p w:rsidR="00C7266C" w:rsidRDefault="00C7266C" w:rsidP="00517589">
            <w:pPr>
              <w:pStyle w:val="TableParagraph"/>
              <w:ind w:right="239"/>
              <w:jc w:val="both"/>
            </w:pPr>
          </w:p>
          <w:p w:rsidR="00BB0690" w:rsidRDefault="00C7266C" w:rsidP="00A2239D">
            <w:pPr>
              <w:pStyle w:val="TableParagraph"/>
              <w:ind w:right="239"/>
              <w:jc w:val="both"/>
            </w:pPr>
            <w:r w:rsidRPr="00080BB9">
              <w:t>The</w:t>
            </w:r>
            <w:r w:rsidR="00517589" w:rsidRPr="00080BB9">
              <w:t xml:space="preserve"> Scottish Government issued updated </w:t>
            </w:r>
            <w:r w:rsidR="007A6C6C" w:rsidRPr="00080BB9">
              <w:t xml:space="preserve">non-statutory </w:t>
            </w:r>
            <w:r w:rsidR="00517589" w:rsidRPr="00080BB9">
              <w:t xml:space="preserve">guidance in </w:t>
            </w:r>
            <w:r w:rsidR="00FC508A">
              <w:t>April</w:t>
            </w:r>
            <w:r w:rsidR="00440E17">
              <w:t xml:space="preserve"> </w:t>
            </w:r>
            <w:r w:rsidR="00517589" w:rsidRPr="00080BB9">
              <w:t xml:space="preserve">2025 which builds upon </w:t>
            </w:r>
            <w:r w:rsidR="009A287A" w:rsidRPr="00080BB9">
              <w:t xml:space="preserve">previously issued </w:t>
            </w:r>
            <w:r w:rsidR="006308E1" w:rsidRPr="00080BB9">
              <w:t>guidance</w:t>
            </w:r>
            <w:r w:rsidR="00517589" w:rsidRPr="00080BB9">
              <w:t>.</w:t>
            </w:r>
            <w:r w:rsidR="006308E1" w:rsidRPr="00080BB9">
              <w:t xml:space="preserve"> The new guidance does not change the Organisational Duty of Candour </w:t>
            </w:r>
            <w:r w:rsidR="009A287A" w:rsidRPr="00080BB9">
              <w:t>legislation</w:t>
            </w:r>
            <w:r w:rsidR="006308E1" w:rsidRPr="00080BB9">
              <w:t xml:space="preserve"> imposed on the </w:t>
            </w:r>
            <w:r w:rsidR="009A287A" w:rsidRPr="00080BB9">
              <w:t>organisation</w:t>
            </w:r>
            <w:r w:rsidR="00080BB9" w:rsidRPr="00080BB9">
              <w:t>.</w:t>
            </w:r>
          </w:p>
        </w:tc>
      </w:tr>
      <w:tr w:rsidR="004C3FC0" w:rsidTr="005974F2">
        <w:trPr>
          <w:gridAfter w:val="1"/>
          <w:wAfter w:w="46" w:type="dxa"/>
          <w:trHeight w:val="621"/>
        </w:trPr>
        <w:tc>
          <w:tcPr>
            <w:tcW w:w="735" w:type="dxa"/>
            <w:gridSpan w:val="3"/>
          </w:tcPr>
          <w:p w:rsidR="004C3FC0" w:rsidRDefault="004C3FC0" w:rsidP="004C3FC0">
            <w:pPr>
              <w:pStyle w:val="TableParagraph"/>
              <w:spacing w:before="123"/>
              <w:ind w:left="200"/>
              <w:rPr>
                <w:b/>
              </w:rPr>
            </w:pPr>
            <w:r>
              <w:rPr>
                <w:b/>
              </w:rPr>
              <w:t>2</w:t>
            </w:r>
          </w:p>
        </w:tc>
        <w:tc>
          <w:tcPr>
            <w:tcW w:w="9162" w:type="dxa"/>
            <w:gridSpan w:val="3"/>
          </w:tcPr>
          <w:p w:rsidR="004C3FC0" w:rsidRDefault="004C3FC0" w:rsidP="004C3FC0">
            <w:pPr>
              <w:pStyle w:val="TableParagraph"/>
              <w:spacing w:before="123"/>
              <w:ind w:right="239"/>
              <w:jc w:val="both"/>
              <w:rPr>
                <w:b/>
              </w:rPr>
            </w:pPr>
            <w:r>
              <w:rPr>
                <w:b/>
              </w:rPr>
              <w:t>The Responsible Person</w:t>
            </w:r>
          </w:p>
        </w:tc>
      </w:tr>
      <w:tr w:rsidR="00B81BB8" w:rsidTr="005974F2">
        <w:trPr>
          <w:gridAfter w:val="1"/>
          <w:wAfter w:w="46" w:type="dxa"/>
          <w:trHeight w:val="621"/>
        </w:trPr>
        <w:tc>
          <w:tcPr>
            <w:tcW w:w="735" w:type="dxa"/>
            <w:gridSpan w:val="3"/>
          </w:tcPr>
          <w:p w:rsidR="00B81BB8" w:rsidRPr="006A260A" w:rsidRDefault="00B81BB8" w:rsidP="00B81BB8">
            <w:pPr>
              <w:pStyle w:val="TableParagraph"/>
              <w:spacing w:before="123"/>
              <w:ind w:left="200"/>
            </w:pPr>
            <w:r w:rsidRPr="006A260A">
              <w:t>2.1</w:t>
            </w:r>
          </w:p>
        </w:tc>
        <w:tc>
          <w:tcPr>
            <w:tcW w:w="9162" w:type="dxa"/>
            <w:gridSpan w:val="3"/>
          </w:tcPr>
          <w:p w:rsidR="00B81BB8" w:rsidRDefault="00B81BB8" w:rsidP="004C3FC0">
            <w:pPr>
              <w:pStyle w:val="TableParagraph"/>
              <w:spacing w:before="139"/>
              <w:ind w:right="239"/>
              <w:jc w:val="both"/>
            </w:pPr>
            <w:r>
              <w:t xml:space="preserve">The Act </w:t>
            </w:r>
            <w:r w:rsidR="00A71C58">
              <w:t>places</w:t>
            </w:r>
            <w:r>
              <w:t xml:space="preserve"> a statutory Organisational Duty of Candour where the ‘responsible person’ is an organisation. Depending on where and when the incident that resulted in death or harm took place, it is for the services within the Health and Social Care Partnership to decide whether the NHS Board or Local Authority is the responsible person and will, therefore, activate the Duty of Candour</w:t>
            </w:r>
            <w:r>
              <w:rPr>
                <w:spacing w:val="-5"/>
              </w:rPr>
              <w:t xml:space="preserve"> </w:t>
            </w:r>
            <w:r>
              <w:t>Procedure.</w:t>
            </w:r>
          </w:p>
          <w:p w:rsidR="004C3FC0" w:rsidRDefault="004C3FC0" w:rsidP="004C3FC0">
            <w:pPr>
              <w:pStyle w:val="TableParagraph"/>
              <w:ind w:right="239"/>
              <w:jc w:val="both"/>
            </w:pPr>
          </w:p>
          <w:p w:rsidR="00B81BB8" w:rsidRDefault="00B81BB8" w:rsidP="004C3FC0">
            <w:pPr>
              <w:pStyle w:val="TableParagraph"/>
              <w:ind w:right="239"/>
              <w:jc w:val="both"/>
            </w:pPr>
            <w:r>
              <w:t>The responsible person has responsibility for:</w:t>
            </w:r>
          </w:p>
          <w:p w:rsidR="00B81BB8" w:rsidRDefault="00B81BB8" w:rsidP="00B81BB8">
            <w:pPr>
              <w:pStyle w:val="TableParagraph"/>
              <w:spacing w:before="2"/>
              <w:ind w:right="239"/>
              <w:jc w:val="both"/>
              <w:rPr>
                <w:rFonts w:ascii="Times New Roman"/>
              </w:rPr>
            </w:pPr>
          </w:p>
          <w:p w:rsidR="00B81BB8" w:rsidRDefault="00B81BB8" w:rsidP="00B81BB8">
            <w:pPr>
              <w:pStyle w:val="TableParagraph"/>
              <w:numPr>
                <w:ilvl w:val="0"/>
                <w:numId w:val="4"/>
              </w:numPr>
              <w:tabs>
                <w:tab w:val="left" w:pos="973"/>
                <w:tab w:val="left" w:pos="975"/>
              </w:tabs>
              <w:spacing w:line="268" w:lineRule="exact"/>
              <w:ind w:right="239"/>
              <w:jc w:val="both"/>
              <w:rPr>
                <w:rFonts w:ascii="Symbol" w:hAnsi="Symbol"/>
              </w:rPr>
            </w:pPr>
            <w:r>
              <w:t>Carrying out the</w:t>
            </w:r>
            <w:r>
              <w:rPr>
                <w:spacing w:val="1"/>
              </w:rPr>
              <w:t xml:space="preserve"> </w:t>
            </w:r>
            <w:r>
              <w:t>procedure</w:t>
            </w:r>
          </w:p>
          <w:p w:rsidR="00B81BB8" w:rsidRDefault="00B81BB8" w:rsidP="00B81BB8">
            <w:pPr>
              <w:pStyle w:val="TableParagraph"/>
              <w:numPr>
                <w:ilvl w:val="0"/>
                <w:numId w:val="4"/>
              </w:numPr>
              <w:tabs>
                <w:tab w:val="left" w:pos="973"/>
                <w:tab w:val="left" w:pos="975"/>
              </w:tabs>
              <w:spacing w:line="268" w:lineRule="exact"/>
              <w:ind w:right="239"/>
              <w:jc w:val="both"/>
              <w:rPr>
                <w:rFonts w:ascii="Symbol" w:hAnsi="Symbol"/>
              </w:rPr>
            </w:pPr>
            <w:r>
              <w:t>Undertaking any training required by</w:t>
            </w:r>
            <w:r>
              <w:rPr>
                <w:spacing w:val="-5"/>
              </w:rPr>
              <w:t xml:space="preserve"> </w:t>
            </w:r>
            <w:r>
              <w:t>regulations</w:t>
            </w:r>
          </w:p>
          <w:p w:rsidR="00B81BB8" w:rsidRDefault="00B81BB8" w:rsidP="00B81BB8">
            <w:pPr>
              <w:pStyle w:val="TableParagraph"/>
              <w:numPr>
                <w:ilvl w:val="0"/>
                <w:numId w:val="4"/>
              </w:numPr>
              <w:tabs>
                <w:tab w:val="left" w:pos="973"/>
                <w:tab w:val="left" w:pos="975"/>
              </w:tabs>
              <w:spacing w:before="2" w:line="237" w:lineRule="auto"/>
              <w:ind w:right="239"/>
              <w:jc w:val="both"/>
              <w:rPr>
                <w:rFonts w:ascii="Symbol" w:hAnsi="Symbol"/>
              </w:rPr>
            </w:pPr>
            <w:r>
              <w:t>Providing training, supervision and support to any person carrying out any part of the procedure as required by</w:t>
            </w:r>
            <w:r>
              <w:rPr>
                <w:spacing w:val="-7"/>
              </w:rPr>
              <w:t xml:space="preserve"> </w:t>
            </w:r>
            <w:r>
              <w:t>Regulations</w:t>
            </w:r>
          </w:p>
          <w:p w:rsidR="00B81BB8" w:rsidRPr="0010067D" w:rsidRDefault="00B81BB8" w:rsidP="00B81BB8">
            <w:pPr>
              <w:pStyle w:val="TableParagraph"/>
              <w:numPr>
                <w:ilvl w:val="0"/>
                <w:numId w:val="4"/>
              </w:numPr>
              <w:tabs>
                <w:tab w:val="left" w:pos="973"/>
                <w:tab w:val="left" w:pos="974"/>
              </w:tabs>
              <w:spacing w:before="1"/>
              <w:ind w:right="239" w:hanging="360"/>
              <w:jc w:val="both"/>
              <w:rPr>
                <w:rFonts w:ascii="Symbol" w:hAnsi="Symbol"/>
                <w:sz w:val="23"/>
              </w:rPr>
            </w:pPr>
            <w:r>
              <w:t>Reporting annually on the Duty.</w:t>
            </w:r>
          </w:p>
          <w:p w:rsidR="005974F2" w:rsidRDefault="005974F2" w:rsidP="00517589">
            <w:pPr>
              <w:pStyle w:val="TableParagraph"/>
              <w:tabs>
                <w:tab w:val="left" w:pos="973"/>
                <w:tab w:val="left" w:pos="974"/>
              </w:tabs>
              <w:spacing w:before="1"/>
              <w:ind w:right="239"/>
              <w:jc w:val="both"/>
              <w:rPr>
                <w:rFonts w:ascii="Symbol" w:hAnsi="Symbol"/>
                <w:sz w:val="23"/>
              </w:rPr>
            </w:pPr>
          </w:p>
        </w:tc>
      </w:tr>
      <w:tr w:rsidR="00B81BB8" w:rsidTr="004C3FC0">
        <w:trPr>
          <w:gridAfter w:val="1"/>
          <w:wAfter w:w="46" w:type="dxa"/>
          <w:trHeight w:val="415"/>
        </w:trPr>
        <w:tc>
          <w:tcPr>
            <w:tcW w:w="735" w:type="dxa"/>
            <w:gridSpan w:val="3"/>
          </w:tcPr>
          <w:p w:rsidR="00B81BB8" w:rsidRDefault="00B81BB8" w:rsidP="004C3FC0">
            <w:pPr>
              <w:pStyle w:val="TableParagraph"/>
              <w:ind w:left="200"/>
              <w:rPr>
                <w:b/>
              </w:rPr>
            </w:pPr>
            <w:r>
              <w:rPr>
                <w:b/>
              </w:rPr>
              <w:t>3</w:t>
            </w:r>
          </w:p>
        </w:tc>
        <w:tc>
          <w:tcPr>
            <w:tcW w:w="9162" w:type="dxa"/>
            <w:gridSpan w:val="3"/>
          </w:tcPr>
          <w:p w:rsidR="00B81BB8" w:rsidRDefault="00B81BB8" w:rsidP="004C3FC0">
            <w:pPr>
              <w:pStyle w:val="TableParagraph"/>
              <w:rPr>
                <w:b/>
              </w:rPr>
            </w:pPr>
            <w:r>
              <w:rPr>
                <w:b/>
              </w:rPr>
              <w:t>Duty Trigger</w:t>
            </w:r>
          </w:p>
        </w:tc>
      </w:tr>
      <w:tr w:rsidR="005974F2" w:rsidTr="005974F2">
        <w:trPr>
          <w:gridAfter w:val="1"/>
          <w:wAfter w:w="46" w:type="dxa"/>
          <w:trHeight w:val="621"/>
        </w:trPr>
        <w:tc>
          <w:tcPr>
            <w:tcW w:w="735" w:type="dxa"/>
            <w:gridSpan w:val="3"/>
          </w:tcPr>
          <w:p w:rsidR="005974F2" w:rsidRPr="005974F2" w:rsidRDefault="005974F2" w:rsidP="006361D6">
            <w:pPr>
              <w:pStyle w:val="TableParagraph"/>
              <w:ind w:left="200"/>
            </w:pPr>
            <w:r w:rsidRPr="005974F2">
              <w:t>3.1</w:t>
            </w:r>
          </w:p>
        </w:tc>
        <w:tc>
          <w:tcPr>
            <w:tcW w:w="9162" w:type="dxa"/>
            <w:gridSpan w:val="3"/>
          </w:tcPr>
          <w:p w:rsidR="006361D6" w:rsidRPr="004C3FC0" w:rsidRDefault="005974F2" w:rsidP="004C3FC0">
            <w:pPr>
              <w:pStyle w:val="TableParagraph"/>
              <w:ind w:right="239"/>
              <w:jc w:val="both"/>
            </w:pPr>
            <w:r>
              <w:t xml:space="preserve">The trigger for the Duty is “an unintended or unexpected incident”, which occurs in the provision of a service and the incident must result in one or more of the outcomes listed in the Regulations. </w:t>
            </w:r>
          </w:p>
        </w:tc>
      </w:tr>
      <w:tr w:rsidR="005974F2" w:rsidTr="005974F2">
        <w:trPr>
          <w:gridAfter w:val="1"/>
          <w:wAfter w:w="46" w:type="dxa"/>
          <w:trHeight w:val="621"/>
        </w:trPr>
        <w:tc>
          <w:tcPr>
            <w:tcW w:w="735" w:type="dxa"/>
            <w:gridSpan w:val="3"/>
          </w:tcPr>
          <w:p w:rsidR="005974F2" w:rsidRPr="005974F2" w:rsidRDefault="005974F2" w:rsidP="006361D6">
            <w:pPr>
              <w:pStyle w:val="TableParagraph"/>
              <w:ind w:left="200"/>
            </w:pPr>
            <w:r w:rsidRPr="005974F2">
              <w:t>3.</w:t>
            </w:r>
            <w:r w:rsidR="00A2239D">
              <w:t>2</w:t>
            </w:r>
          </w:p>
        </w:tc>
        <w:tc>
          <w:tcPr>
            <w:tcW w:w="9162" w:type="dxa"/>
            <w:gridSpan w:val="3"/>
          </w:tcPr>
          <w:p w:rsidR="005974F2" w:rsidRDefault="005974F2" w:rsidP="004C3FC0">
            <w:pPr>
              <w:pStyle w:val="TableParagraph"/>
              <w:ind w:right="239"/>
              <w:jc w:val="both"/>
            </w:pPr>
            <w:r>
              <w:t xml:space="preserve">For the Duty to be </w:t>
            </w:r>
            <w:r w:rsidR="00440E17">
              <w:t>triggered</w:t>
            </w:r>
            <w:r>
              <w:t>, in the reasonable opinion of a registered health professional, the incident must have resulted in a particular outcome. The professional giving the opinion must be independent, i.e. they must not have been involved in the incident.</w:t>
            </w:r>
          </w:p>
          <w:p w:rsidR="006361D6" w:rsidRDefault="006361D6" w:rsidP="006361D6">
            <w:pPr>
              <w:pStyle w:val="TableParagraph"/>
              <w:ind w:left="254" w:right="239"/>
              <w:jc w:val="both"/>
              <w:rPr>
                <w:b/>
              </w:rPr>
            </w:pPr>
          </w:p>
        </w:tc>
      </w:tr>
      <w:tr w:rsidR="00440E17" w:rsidTr="005974F2">
        <w:trPr>
          <w:gridAfter w:val="1"/>
          <w:wAfter w:w="46" w:type="dxa"/>
          <w:trHeight w:val="621"/>
        </w:trPr>
        <w:tc>
          <w:tcPr>
            <w:tcW w:w="735" w:type="dxa"/>
            <w:gridSpan w:val="3"/>
          </w:tcPr>
          <w:p w:rsidR="00440E17" w:rsidRPr="005974F2" w:rsidRDefault="00440E17" w:rsidP="006361D6">
            <w:pPr>
              <w:pStyle w:val="TableParagraph"/>
              <w:ind w:left="200"/>
            </w:pPr>
            <w:r>
              <w:t>3.</w:t>
            </w:r>
            <w:r w:rsidR="00A2239D">
              <w:t>3</w:t>
            </w:r>
          </w:p>
        </w:tc>
        <w:tc>
          <w:tcPr>
            <w:tcW w:w="9162" w:type="dxa"/>
            <w:gridSpan w:val="3"/>
          </w:tcPr>
          <w:p w:rsidR="00440E17" w:rsidRDefault="00440E17" w:rsidP="004C3FC0">
            <w:pPr>
              <w:pStyle w:val="TableParagraph"/>
              <w:ind w:right="239"/>
              <w:jc w:val="both"/>
              <w:rPr>
                <w:color w:val="1A1A1A"/>
                <w:shd w:val="clear" w:color="auto" w:fill="FFFFFF"/>
              </w:rPr>
            </w:pPr>
            <w:r w:rsidRPr="00440E17">
              <w:rPr>
                <w:color w:val="1A1A1A"/>
                <w:shd w:val="clear" w:color="auto" w:fill="FFFFFF"/>
              </w:rPr>
              <w:t>The Act states that organisations </w:t>
            </w:r>
            <w:r w:rsidRPr="00440E17">
              <w:rPr>
                <w:rStyle w:val="Strong"/>
                <w:b w:val="0"/>
                <w:color w:val="1A1A1A"/>
                <w:shd w:val="clear" w:color="auto" w:fill="FFFFFF"/>
              </w:rPr>
              <w:t>must</w:t>
            </w:r>
            <w:r w:rsidRPr="00440E17">
              <w:rPr>
                <w:color w:val="1A1A1A"/>
                <w:shd w:val="clear" w:color="auto" w:fill="FFFFFF"/>
              </w:rPr>
              <w:t xml:space="preserve"> act as soon as reasonably practicable after becoming aware of </w:t>
            </w:r>
            <w:r w:rsidR="00FC508A">
              <w:rPr>
                <w:color w:val="1A1A1A"/>
                <w:shd w:val="clear" w:color="auto" w:fill="FFFFFF"/>
              </w:rPr>
              <w:t>an</w:t>
            </w:r>
            <w:r w:rsidRPr="00440E17">
              <w:rPr>
                <w:color w:val="1A1A1A"/>
                <w:shd w:val="clear" w:color="auto" w:fill="FFFFFF"/>
              </w:rPr>
              <w:t xml:space="preserve"> incident</w:t>
            </w:r>
            <w:r w:rsidR="00FC508A">
              <w:rPr>
                <w:color w:val="1A1A1A"/>
                <w:shd w:val="clear" w:color="auto" w:fill="FFFFFF"/>
              </w:rPr>
              <w:t xml:space="preserve"> that may trigger the duty</w:t>
            </w:r>
            <w:r w:rsidR="000778DE">
              <w:rPr>
                <w:color w:val="1A1A1A"/>
                <w:shd w:val="clear" w:color="auto" w:fill="FFFFFF"/>
              </w:rPr>
              <w:t>.</w:t>
            </w:r>
          </w:p>
          <w:p w:rsidR="00440E17" w:rsidRDefault="00440E17" w:rsidP="006361D6">
            <w:pPr>
              <w:pStyle w:val="TableParagraph"/>
              <w:ind w:left="254" w:right="239"/>
              <w:jc w:val="both"/>
              <w:rPr>
                <w:color w:val="1A1A1A"/>
                <w:shd w:val="clear" w:color="auto" w:fill="FFFFFF"/>
              </w:rPr>
            </w:pPr>
          </w:p>
          <w:p w:rsidR="00440E17" w:rsidRPr="00440E17" w:rsidRDefault="00440E17" w:rsidP="004C3FC0">
            <w:pPr>
              <w:pStyle w:val="TableParagraph"/>
              <w:ind w:right="239"/>
              <w:jc w:val="both"/>
              <w:rPr>
                <w:color w:val="1A1A1A"/>
                <w:shd w:val="clear" w:color="auto" w:fill="FFFFFF"/>
              </w:rPr>
            </w:pPr>
            <w:r w:rsidRPr="00440E17">
              <w:rPr>
                <w:color w:val="1A1A1A"/>
                <w:shd w:val="clear" w:color="auto" w:fill="FFFFFF"/>
              </w:rPr>
              <w:t xml:space="preserve">The Regulations </w:t>
            </w:r>
            <w:r>
              <w:rPr>
                <w:color w:val="1A1A1A"/>
                <w:shd w:val="clear" w:color="auto" w:fill="FFFFFF"/>
              </w:rPr>
              <w:t xml:space="preserve">note </w:t>
            </w:r>
            <w:r w:rsidR="00A2239D">
              <w:rPr>
                <w:color w:val="1A1A1A"/>
                <w:shd w:val="clear" w:color="auto" w:fill="FFFFFF"/>
              </w:rPr>
              <w:t xml:space="preserve">the </w:t>
            </w:r>
            <w:r w:rsidRPr="00440E17">
              <w:rPr>
                <w:color w:val="1A1A1A"/>
                <w:shd w:val="clear" w:color="auto" w:fill="FFFFFF"/>
              </w:rPr>
              <w:t>procedure start dat</w:t>
            </w:r>
            <w:r w:rsidR="00FC508A">
              <w:rPr>
                <w:color w:val="1A1A1A"/>
                <w:shd w:val="clear" w:color="auto" w:fill="FFFFFF"/>
              </w:rPr>
              <w:t>e as being</w:t>
            </w:r>
            <w:r w:rsidR="00A2239D">
              <w:rPr>
                <w:color w:val="1A1A1A"/>
                <w:shd w:val="clear" w:color="auto" w:fill="FFFFFF"/>
              </w:rPr>
              <w:t>,</w:t>
            </w:r>
            <w:r w:rsidR="00FC508A">
              <w:rPr>
                <w:color w:val="1A1A1A"/>
                <w:shd w:val="clear" w:color="auto" w:fill="FFFFFF"/>
              </w:rPr>
              <w:t xml:space="preserve"> the </w:t>
            </w:r>
            <w:r w:rsidRPr="00440E17">
              <w:rPr>
                <w:color w:val="1A1A1A"/>
                <w:shd w:val="clear" w:color="auto" w:fill="FFFFFF"/>
              </w:rPr>
              <w:t>date that the organisation receives confirmation from a registered health professional that, in their reasonable opinion, an unintended or unexpected incident appears to have resulted in, or could result in, harm.</w:t>
            </w:r>
            <w:r w:rsidR="00FC508A">
              <w:rPr>
                <w:color w:val="1A1A1A"/>
                <w:shd w:val="clear" w:color="auto" w:fill="FFFFFF"/>
              </w:rPr>
              <w:t xml:space="preserve"> </w:t>
            </w:r>
            <w:r w:rsidR="00FC508A" w:rsidRPr="00FC508A">
              <w:rPr>
                <w:color w:val="1A1A1A"/>
                <w:shd w:val="clear" w:color="auto" w:fill="FFFFFF"/>
              </w:rPr>
              <w:t>The harm </w:t>
            </w:r>
            <w:r w:rsidR="00FC508A" w:rsidRPr="00FC508A">
              <w:rPr>
                <w:rStyle w:val="Strong"/>
                <w:b w:val="0"/>
                <w:color w:val="1A1A1A"/>
                <w:shd w:val="clear" w:color="auto" w:fill="FFFFFF"/>
              </w:rPr>
              <w:t>must</w:t>
            </w:r>
            <w:r w:rsidR="00FC508A" w:rsidRPr="00FC508A">
              <w:rPr>
                <w:color w:val="1A1A1A"/>
                <w:shd w:val="clear" w:color="auto" w:fill="FFFFFF"/>
              </w:rPr>
              <w:t> relate directly to the incident rather than to the natural course of the relevant person’s illness or underlying condition.</w:t>
            </w:r>
          </w:p>
          <w:p w:rsidR="00440E17" w:rsidRDefault="00440E17" w:rsidP="006361D6">
            <w:pPr>
              <w:pStyle w:val="TableParagraph"/>
              <w:ind w:left="254" w:right="239"/>
              <w:jc w:val="both"/>
            </w:pPr>
          </w:p>
        </w:tc>
      </w:tr>
      <w:tr w:rsidR="005974F2" w:rsidTr="007A626A">
        <w:trPr>
          <w:gridAfter w:val="1"/>
          <w:wAfter w:w="46" w:type="dxa"/>
          <w:trHeight w:val="466"/>
        </w:trPr>
        <w:tc>
          <w:tcPr>
            <w:tcW w:w="735" w:type="dxa"/>
            <w:gridSpan w:val="3"/>
          </w:tcPr>
          <w:p w:rsidR="005974F2" w:rsidRDefault="005974F2" w:rsidP="006361D6">
            <w:pPr>
              <w:pStyle w:val="TableParagraph"/>
              <w:ind w:left="200"/>
              <w:rPr>
                <w:b/>
              </w:rPr>
            </w:pPr>
            <w:r>
              <w:rPr>
                <w:b/>
              </w:rPr>
              <w:t>4</w:t>
            </w:r>
          </w:p>
        </w:tc>
        <w:tc>
          <w:tcPr>
            <w:tcW w:w="9162" w:type="dxa"/>
            <w:gridSpan w:val="3"/>
          </w:tcPr>
          <w:p w:rsidR="005974F2" w:rsidRDefault="005974F2" w:rsidP="004C3FC0">
            <w:pPr>
              <w:pStyle w:val="TableParagraph"/>
              <w:rPr>
                <w:b/>
              </w:rPr>
            </w:pPr>
            <w:r>
              <w:rPr>
                <w:b/>
              </w:rPr>
              <w:t>Duty of Candour Procedure</w:t>
            </w:r>
          </w:p>
        </w:tc>
      </w:tr>
      <w:tr w:rsidR="005974F2" w:rsidTr="007A626A">
        <w:trPr>
          <w:gridAfter w:val="1"/>
          <w:wAfter w:w="46" w:type="dxa"/>
          <w:trHeight w:val="4541"/>
        </w:trPr>
        <w:tc>
          <w:tcPr>
            <w:tcW w:w="735" w:type="dxa"/>
            <w:gridSpan w:val="3"/>
          </w:tcPr>
          <w:p w:rsidR="005974F2" w:rsidRPr="005974F2" w:rsidRDefault="005974F2" w:rsidP="006361D6">
            <w:pPr>
              <w:pStyle w:val="TableParagraph"/>
              <w:ind w:left="200"/>
            </w:pPr>
            <w:r w:rsidRPr="005974F2">
              <w:t>4.1</w:t>
            </w:r>
          </w:p>
        </w:tc>
        <w:tc>
          <w:tcPr>
            <w:tcW w:w="9162" w:type="dxa"/>
            <w:gridSpan w:val="3"/>
          </w:tcPr>
          <w:p w:rsidR="005974F2" w:rsidRDefault="005974F2" w:rsidP="004C3FC0">
            <w:pPr>
              <w:pStyle w:val="TableParagraph"/>
              <w:ind w:right="203"/>
              <w:jc w:val="both"/>
            </w:pPr>
            <w:r>
              <w:t xml:space="preserve">Organisations are required to follow a Duty of Candour Procedure, which includes notifying the person affected, </w:t>
            </w:r>
            <w:proofErr w:type="spellStart"/>
            <w:r>
              <w:t>apologising</w:t>
            </w:r>
            <w:proofErr w:type="spellEnd"/>
            <w:r>
              <w:t xml:space="preserve"> and offering a meeting to give an account of what happened.</w:t>
            </w:r>
          </w:p>
          <w:p w:rsidR="005974F2" w:rsidRDefault="005974F2" w:rsidP="005974F2">
            <w:pPr>
              <w:pStyle w:val="TableParagraph"/>
              <w:spacing w:before="10"/>
              <w:jc w:val="both"/>
              <w:rPr>
                <w:rFonts w:ascii="Times New Roman"/>
                <w:sz w:val="21"/>
              </w:rPr>
            </w:pPr>
          </w:p>
          <w:p w:rsidR="00A2239D" w:rsidRDefault="005974F2" w:rsidP="004C3FC0">
            <w:pPr>
              <w:pStyle w:val="TableParagraph"/>
              <w:ind w:right="200"/>
              <w:jc w:val="both"/>
            </w:pPr>
            <w:r>
              <w:t xml:space="preserve">The Procedure must be carried out by the responsible person as soon as reasonably practicable after becoming aware of the incident. </w:t>
            </w:r>
          </w:p>
          <w:p w:rsidR="00A2239D" w:rsidRDefault="00A2239D" w:rsidP="005974F2">
            <w:pPr>
              <w:pStyle w:val="TableParagraph"/>
              <w:ind w:left="254" w:right="200"/>
              <w:jc w:val="both"/>
            </w:pPr>
          </w:p>
          <w:p w:rsidR="005974F2" w:rsidRDefault="005974F2" w:rsidP="004C3FC0">
            <w:pPr>
              <w:pStyle w:val="TableParagraph"/>
              <w:ind w:right="200"/>
              <w:jc w:val="both"/>
            </w:pPr>
            <w:r>
              <w:t>The key stages of the procedure include:</w:t>
            </w:r>
          </w:p>
          <w:p w:rsidR="005974F2" w:rsidRDefault="005974F2" w:rsidP="005974F2">
            <w:pPr>
              <w:pStyle w:val="TableParagraph"/>
              <w:numPr>
                <w:ilvl w:val="0"/>
                <w:numId w:val="3"/>
              </w:numPr>
              <w:tabs>
                <w:tab w:val="left" w:pos="974"/>
                <w:tab w:val="left" w:pos="975"/>
              </w:tabs>
              <w:spacing w:before="117" w:line="269" w:lineRule="exact"/>
              <w:ind w:hanging="360"/>
              <w:jc w:val="both"/>
            </w:pPr>
            <w:r>
              <w:t>To notify the person affected (or family/relative where</w:t>
            </w:r>
            <w:r>
              <w:rPr>
                <w:spacing w:val="-14"/>
              </w:rPr>
              <w:t xml:space="preserve"> </w:t>
            </w:r>
            <w:r>
              <w:t>appropriate)</w:t>
            </w:r>
          </w:p>
          <w:p w:rsidR="005974F2" w:rsidRDefault="005974F2" w:rsidP="005974F2">
            <w:pPr>
              <w:pStyle w:val="TableParagraph"/>
              <w:numPr>
                <w:ilvl w:val="0"/>
                <w:numId w:val="3"/>
              </w:numPr>
              <w:tabs>
                <w:tab w:val="left" w:pos="974"/>
                <w:tab w:val="left" w:pos="975"/>
              </w:tabs>
              <w:spacing w:line="268" w:lineRule="exact"/>
              <w:ind w:hanging="360"/>
              <w:jc w:val="both"/>
            </w:pPr>
            <w:r>
              <w:t>To provide an</w:t>
            </w:r>
            <w:r>
              <w:rPr>
                <w:spacing w:val="-3"/>
              </w:rPr>
              <w:t xml:space="preserve"> </w:t>
            </w:r>
            <w:r>
              <w:t>apology</w:t>
            </w:r>
          </w:p>
          <w:p w:rsidR="005974F2" w:rsidRDefault="005974F2" w:rsidP="005974F2">
            <w:pPr>
              <w:pStyle w:val="TableParagraph"/>
              <w:numPr>
                <w:ilvl w:val="0"/>
                <w:numId w:val="3"/>
              </w:numPr>
              <w:tabs>
                <w:tab w:val="left" w:pos="974"/>
                <w:tab w:val="left" w:pos="975"/>
              </w:tabs>
              <w:spacing w:line="268" w:lineRule="exact"/>
              <w:ind w:hanging="360"/>
              <w:jc w:val="both"/>
            </w:pPr>
            <w:r>
              <w:t>To carry out a review into the circumstances leading to the</w:t>
            </w:r>
            <w:r>
              <w:rPr>
                <w:spacing w:val="-16"/>
              </w:rPr>
              <w:t xml:space="preserve"> </w:t>
            </w:r>
            <w:r>
              <w:t>incident</w:t>
            </w:r>
          </w:p>
          <w:p w:rsidR="005974F2" w:rsidRDefault="005974F2" w:rsidP="005974F2">
            <w:pPr>
              <w:pStyle w:val="TableParagraph"/>
              <w:numPr>
                <w:ilvl w:val="0"/>
                <w:numId w:val="3"/>
              </w:numPr>
              <w:tabs>
                <w:tab w:val="left" w:pos="974"/>
                <w:tab w:val="left" w:pos="975"/>
              </w:tabs>
              <w:spacing w:before="2" w:line="237" w:lineRule="auto"/>
              <w:ind w:right="202" w:hanging="360"/>
              <w:jc w:val="both"/>
            </w:pPr>
            <w:r>
              <w:t>To offer and arrange a meeting with the person affected and/or their family, where appropriate</w:t>
            </w:r>
          </w:p>
          <w:p w:rsidR="005974F2" w:rsidRDefault="005974F2" w:rsidP="005974F2">
            <w:pPr>
              <w:pStyle w:val="TableParagraph"/>
              <w:numPr>
                <w:ilvl w:val="0"/>
                <w:numId w:val="3"/>
              </w:numPr>
              <w:tabs>
                <w:tab w:val="left" w:pos="974"/>
                <w:tab w:val="left" w:pos="975"/>
              </w:tabs>
              <w:spacing w:before="1" w:line="268" w:lineRule="exact"/>
              <w:ind w:hanging="360"/>
              <w:jc w:val="both"/>
            </w:pPr>
            <w:r>
              <w:t>To provide the person affected with an account of the</w:t>
            </w:r>
            <w:r>
              <w:rPr>
                <w:spacing w:val="-13"/>
              </w:rPr>
              <w:t xml:space="preserve"> </w:t>
            </w:r>
            <w:r>
              <w:t>incident</w:t>
            </w:r>
          </w:p>
          <w:p w:rsidR="005974F2" w:rsidRDefault="005974F2" w:rsidP="005974F2">
            <w:pPr>
              <w:pStyle w:val="TableParagraph"/>
              <w:numPr>
                <w:ilvl w:val="0"/>
                <w:numId w:val="3"/>
              </w:numPr>
              <w:tabs>
                <w:tab w:val="left" w:pos="974"/>
                <w:tab w:val="left" w:pos="975"/>
              </w:tabs>
              <w:spacing w:line="268" w:lineRule="exact"/>
              <w:ind w:hanging="360"/>
              <w:jc w:val="both"/>
            </w:pPr>
            <w:r>
              <w:t>To provide information about further steps</w:t>
            </w:r>
            <w:r>
              <w:rPr>
                <w:spacing w:val="-8"/>
              </w:rPr>
              <w:t xml:space="preserve"> </w:t>
            </w:r>
            <w:r>
              <w:t>taken</w:t>
            </w:r>
          </w:p>
          <w:p w:rsidR="005974F2" w:rsidRDefault="005974F2" w:rsidP="005974F2">
            <w:pPr>
              <w:pStyle w:val="TableParagraph"/>
              <w:numPr>
                <w:ilvl w:val="0"/>
                <w:numId w:val="3"/>
              </w:numPr>
              <w:tabs>
                <w:tab w:val="left" w:pos="974"/>
                <w:tab w:val="left" w:pos="975"/>
              </w:tabs>
              <w:spacing w:before="2" w:line="237" w:lineRule="auto"/>
              <w:ind w:right="198" w:hanging="360"/>
              <w:jc w:val="both"/>
            </w:pPr>
            <w:r>
              <w:t>To make available, or provide information about, support to persons affected by the</w:t>
            </w:r>
            <w:r>
              <w:rPr>
                <w:spacing w:val="-1"/>
              </w:rPr>
              <w:t xml:space="preserve"> </w:t>
            </w:r>
            <w:r>
              <w:t>incident</w:t>
            </w:r>
          </w:p>
          <w:p w:rsidR="005974F2" w:rsidRDefault="005974F2" w:rsidP="005974F2">
            <w:pPr>
              <w:pStyle w:val="TableParagraph"/>
              <w:numPr>
                <w:ilvl w:val="0"/>
                <w:numId w:val="3"/>
              </w:numPr>
              <w:tabs>
                <w:tab w:val="left" w:pos="974"/>
                <w:tab w:val="left" w:pos="975"/>
              </w:tabs>
              <w:spacing w:before="2" w:line="237" w:lineRule="auto"/>
              <w:ind w:right="198" w:hanging="360"/>
              <w:jc w:val="both"/>
            </w:pPr>
            <w:r>
              <w:t>To prepare and publish an annual report.</w:t>
            </w:r>
          </w:p>
          <w:p w:rsidR="005974F2" w:rsidRDefault="005974F2" w:rsidP="005974F2">
            <w:pPr>
              <w:pStyle w:val="TableParagraph"/>
              <w:spacing w:before="126"/>
              <w:ind w:left="254"/>
              <w:jc w:val="both"/>
              <w:rPr>
                <w:b/>
              </w:rPr>
            </w:pPr>
          </w:p>
        </w:tc>
      </w:tr>
      <w:tr w:rsidR="005974F2" w:rsidTr="007A626A">
        <w:trPr>
          <w:gridAfter w:val="1"/>
          <w:wAfter w:w="46" w:type="dxa"/>
          <w:trHeight w:val="454"/>
        </w:trPr>
        <w:tc>
          <w:tcPr>
            <w:tcW w:w="735" w:type="dxa"/>
            <w:gridSpan w:val="3"/>
          </w:tcPr>
          <w:p w:rsidR="005974F2" w:rsidRDefault="005974F2" w:rsidP="005974F2">
            <w:pPr>
              <w:pStyle w:val="TableParagraph"/>
              <w:ind w:left="200"/>
              <w:rPr>
                <w:b/>
              </w:rPr>
            </w:pPr>
            <w:r>
              <w:rPr>
                <w:b/>
              </w:rPr>
              <w:t>5</w:t>
            </w:r>
          </w:p>
        </w:tc>
        <w:tc>
          <w:tcPr>
            <w:tcW w:w="9162" w:type="dxa"/>
            <w:gridSpan w:val="3"/>
          </w:tcPr>
          <w:p w:rsidR="005974F2" w:rsidRDefault="005974F2" w:rsidP="004C3FC0">
            <w:pPr>
              <w:pStyle w:val="TableParagraph"/>
              <w:rPr>
                <w:b/>
              </w:rPr>
            </w:pPr>
            <w:r>
              <w:rPr>
                <w:b/>
              </w:rPr>
              <w:t>Annual Report</w:t>
            </w:r>
          </w:p>
        </w:tc>
      </w:tr>
      <w:tr w:rsidR="005974F2" w:rsidTr="005974F2">
        <w:trPr>
          <w:gridAfter w:val="1"/>
          <w:wAfter w:w="46" w:type="dxa"/>
          <w:trHeight w:val="621"/>
        </w:trPr>
        <w:tc>
          <w:tcPr>
            <w:tcW w:w="735" w:type="dxa"/>
            <w:gridSpan w:val="3"/>
          </w:tcPr>
          <w:p w:rsidR="005974F2" w:rsidRPr="005974F2" w:rsidRDefault="005974F2" w:rsidP="005974F2">
            <w:pPr>
              <w:pStyle w:val="TableParagraph"/>
              <w:ind w:left="200"/>
            </w:pPr>
            <w:r w:rsidRPr="005974F2">
              <w:t>5.1</w:t>
            </w:r>
          </w:p>
        </w:tc>
        <w:tc>
          <w:tcPr>
            <w:tcW w:w="9162" w:type="dxa"/>
            <w:gridSpan w:val="3"/>
          </w:tcPr>
          <w:p w:rsidR="004C3FC0" w:rsidRDefault="005974F2" w:rsidP="004C3FC0">
            <w:pPr>
              <w:pStyle w:val="TableParagraph"/>
              <w:ind w:right="239"/>
              <w:jc w:val="both"/>
            </w:pPr>
            <w:r>
              <w:t xml:space="preserve">Organisations have a requirement to publish an annual report regardless of whether the duty has been triggered. The report should include the number of incidents, how the organisation has implemented the duty and what learning and improvements have been put in place. </w:t>
            </w:r>
          </w:p>
          <w:p w:rsidR="005974F2" w:rsidRDefault="005974F2" w:rsidP="004C3FC0">
            <w:pPr>
              <w:pStyle w:val="TableParagraph"/>
              <w:ind w:right="239"/>
              <w:jc w:val="both"/>
              <w:rPr>
                <w:b/>
              </w:rPr>
            </w:pPr>
          </w:p>
        </w:tc>
      </w:tr>
      <w:tr w:rsidR="005974F2" w:rsidTr="005974F2">
        <w:trPr>
          <w:gridAfter w:val="1"/>
          <w:wAfter w:w="46" w:type="dxa"/>
          <w:trHeight w:val="621"/>
        </w:trPr>
        <w:tc>
          <w:tcPr>
            <w:tcW w:w="735" w:type="dxa"/>
            <w:gridSpan w:val="3"/>
          </w:tcPr>
          <w:p w:rsidR="005974F2" w:rsidRPr="005974F2" w:rsidRDefault="005974F2" w:rsidP="005974F2">
            <w:pPr>
              <w:pStyle w:val="TableParagraph"/>
              <w:ind w:left="200"/>
            </w:pPr>
            <w:r w:rsidRPr="005974F2">
              <w:t>5.2</w:t>
            </w:r>
          </w:p>
        </w:tc>
        <w:tc>
          <w:tcPr>
            <w:tcW w:w="9162" w:type="dxa"/>
            <w:gridSpan w:val="3"/>
          </w:tcPr>
          <w:p w:rsidR="005974F2" w:rsidRDefault="005974F2" w:rsidP="004C3FC0">
            <w:pPr>
              <w:pStyle w:val="TableParagraph"/>
              <w:ind w:right="239"/>
              <w:jc w:val="both"/>
            </w:pPr>
            <w:r>
              <w:t xml:space="preserve">The </w:t>
            </w:r>
            <w:r w:rsidR="004C3FC0">
              <w:t>202</w:t>
            </w:r>
            <w:r w:rsidR="00327A66">
              <w:t>5</w:t>
            </w:r>
            <w:r w:rsidR="004C3FC0">
              <w:t>/2</w:t>
            </w:r>
            <w:r w:rsidR="00327A66">
              <w:t>6</w:t>
            </w:r>
            <w:r w:rsidR="004C3FC0">
              <w:t xml:space="preserve"> annual </w:t>
            </w:r>
            <w:r>
              <w:t xml:space="preserve">report </w:t>
            </w:r>
            <w:r w:rsidR="004C3FC0">
              <w:t xml:space="preserve">is appended and </w:t>
            </w:r>
            <w:r>
              <w:t xml:space="preserve">details that there have been </w:t>
            </w:r>
            <w:r w:rsidR="004C3FC0">
              <w:t>no</w:t>
            </w:r>
            <w:r>
              <w:t xml:space="preserve"> incidents requiring the </w:t>
            </w:r>
            <w:r w:rsidR="00327A66">
              <w:t>d</w:t>
            </w:r>
            <w:r>
              <w:t xml:space="preserve">uty </w:t>
            </w:r>
            <w:r w:rsidR="004C3FC0">
              <w:t>to be triggered over the reporting period.</w:t>
            </w:r>
          </w:p>
          <w:p w:rsidR="005974F2" w:rsidRDefault="005974F2" w:rsidP="005974F2">
            <w:pPr>
              <w:pStyle w:val="TableParagraph"/>
              <w:ind w:left="254" w:right="239"/>
              <w:jc w:val="both"/>
              <w:rPr>
                <w:b/>
              </w:rPr>
            </w:pPr>
          </w:p>
        </w:tc>
      </w:tr>
      <w:tr w:rsidR="005974F2" w:rsidTr="007A626A">
        <w:trPr>
          <w:gridBefore w:val="1"/>
          <w:wBefore w:w="20" w:type="dxa"/>
          <w:trHeight w:val="1340"/>
        </w:trPr>
        <w:tc>
          <w:tcPr>
            <w:tcW w:w="709" w:type="dxa"/>
          </w:tcPr>
          <w:p w:rsidR="005974F2" w:rsidRPr="005974F2" w:rsidRDefault="005974F2" w:rsidP="005974F2">
            <w:pPr>
              <w:pStyle w:val="TableParagraph"/>
              <w:ind w:left="200"/>
              <w:rPr>
                <w:b/>
              </w:rPr>
            </w:pPr>
            <w:r w:rsidRPr="005974F2">
              <w:rPr>
                <w:b/>
              </w:rPr>
              <w:t>E.</w:t>
            </w:r>
          </w:p>
        </w:tc>
        <w:tc>
          <w:tcPr>
            <w:tcW w:w="9214" w:type="dxa"/>
            <w:gridSpan w:val="5"/>
          </w:tcPr>
          <w:p w:rsidR="005974F2" w:rsidRPr="007A626A" w:rsidRDefault="005974F2" w:rsidP="004C3FC0">
            <w:pPr>
              <w:pStyle w:val="TableParagraph"/>
              <w:ind w:right="284"/>
              <w:jc w:val="both"/>
              <w:rPr>
                <w:b/>
              </w:rPr>
            </w:pPr>
            <w:r w:rsidRPr="007A626A">
              <w:rPr>
                <w:b/>
              </w:rPr>
              <w:t>CONCLUSION</w:t>
            </w:r>
          </w:p>
          <w:p w:rsidR="005974F2" w:rsidRPr="005974F2" w:rsidRDefault="005974F2" w:rsidP="005974F2">
            <w:pPr>
              <w:pStyle w:val="TableParagraph"/>
              <w:ind w:left="254" w:right="284"/>
              <w:jc w:val="both"/>
            </w:pPr>
          </w:p>
          <w:p w:rsidR="00A2239D" w:rsidRDefault="005974F2" w:rsidP="004C3FC0">
            <w:pPr>
              <w:pStyle w:val="TableParagraph"/>
              <w:ind w:right="284"/>
              <w:jc w:val="both"/>
            </w:pPr>
            <w:r>
              <w:t>This report provides</w:t>
            </w:r>
            <w:r w:rsidR="00A2239D">
              <w:t xml:space="preserve"> detail</w:t>
            </w:r>
            <w:r>
              <w:t xml:space="preserve"> on the requirements of the Duty of Candour legislation and </w:t>
            </w:r>
            <w:r w:rsidR="00A2239D">
              <w:t xml:space="preserve">requirement for </w:t>
            </w:r>
            <w:r>
              <w:t xml:space="preserve">publication </w:t>
            </w:r>
            <w:r w:rsidR="00A2239D">
              <w:t>of an</w:t>
            </w:r>
            <w:r>
              <w:t xml:space="preserve"> annual report. </w:t>
            </w:r>
          </w:p>
          <w:p w:rsidR="00A2239D" w:rsidRDefault="00A2239D" w:rsidP="005974F2">
            <w:pPr>
              <w:pStyle w:val="TableParagraph"/>
              <w:ind w:left="254" w:right="284"/>
              <w:jc w:val="both"/>
            </w:pPr>
          </w:p>
          <w:p w:rsidR="00A2239D" w:rsidRDefault="005974F2" w:rsidP="004C3FC0">
            <w:pPr>
              <w:pStyle w:val="TableParagraph"/>
              <w:ind w:right="284"/>
              <w:jc w:val="both"/>
            </w:pPr>
            <w:r>
              <w:t xml:space="preserve">The report details that there have not been any incidents </w:t>
            </w:r>
            <w:r w:rsidR="00A2239D">
              <w:t>to trigger</w:t>
            </w:r>
            <w:r>
              <w:t xml:space="preserve"> of the Duty of Candour </w:t>
            </w:r>
            <w:r w:rsidR="00A2239D">
              <w:t>over the reporting period 202</w:t>
            </w:r>
            <w:r w:rsidR="00327A66">
              <w:t>5</w:t>
            </w:r>
            <w:r w:rsidR="00A2239D">
              <w:t>/2</w:t>
            </w:r>
            <w:r w:rsidR="00327A66">
              <w:t>6</w:t>
            </w:r>
            <w:r w:rsidR="00A2239D">
              <w:t>.</w:t>
            </w:r>
          </w:p>
          <w:p w:rsidR="00A2239D" w:rsidRDefault="00A2239D" w:rsidP="00A2239D">
            <w:pPr>
              <w:pStyle w:val="TableParagraph"/>
              <w:ind w:left="254" w:right="284"/>
              <w:jc w:val="both"/>
            </w:pPr>
          </w:p>
          <w:p w:rsidR="00A2239D" w:rsidRPr="00A2239D" w:rsidRDefault="00A2239D" w:rsidP="004C3FC0">
            <w:pPr>
              <w:pStyle w:val="TableParagraph"/>
              <w:ind w:right="284"/>
              <w:jc w:val="both"/>
            </w:pPr>
            <w:r>
              <w:t>The draft annual report is scheduled for consideration by Council Executive on 2</w:t>
            </w:r>
            <w:r w:rsidR="00327A66">
              <w:t>3</w:t>
            </w:r>
            <w:r>
              <w:t xml:space="preserve"> June 202</w:t>
            </w:r>
            <w:r w:rsidR="00327A66">
              <w:t>6</w:t>
            </w:r>
            <w:r w:rsidR="004C3FC0">
              <w:t>, prior to publication on the Council website</w:t>
            </w:r>
            <w:r>
              <w:t>.</w:t>
            </w:r>
          </w:p>
          <w:p w:rsidR="005974F2" w:rsidRDefault="005974F2" w:rsidP="00A2239D">
            <w:pPr>
              <w:pStyle w:val="TableParagraph"/>
              <w:ind w:right="284"/>
              <w:jc w:val="both"/>
            </w:pPr>
          </w:p>
        </w:tc>
      </w:tr>
      <w:tr w:rsidR="005974F2" w:rsidTr="005974F2">
        <w:trPr>
          <w:gridBefore w:val="1"/>
          <w:wBefore w:w="20" w:type="dxa"/>
          <w:trHeight w:val="621"/>
        </w:trPr>
        <w:tc>
          <w:tcPr>
            <w:tcW w:w="709" w:type="dxa"/>
          </w:tcPr>
          <w:p w:rsidR="005974F2" w:rsidRPr="005974F2" w:rsidRDefault="005974F2" w:rsidP="005974F2">
            <w:pPr>
              <w:pStyle w:val="TableParagraph"/>
              <w:ind w:left="200"/>
              <w:rPr>
                <w:b/>
              </w:rPr>
            </w:pPr>
            <w:r w:rsidRPr="005974F2">
              <w:rPr>
                <w:b/>
              </w:rPr>
              <w:t>F.</w:t>
            </w:r>
          </w:p>
        </w:tc>
        <w:tc>
          <w:tcPr>
            <w:tcW w:w="9214" w:type="dxa"/>
            <w:gridSpan w:val="5"/>
          </w:tcPr>
          <w:p w:rsidR="005974F2" w:rsidRDefault="005974F2" w:rsidP="005974F2">
            <w:pPr>
              <w:pStyle w:val="TableParagraph"/>
              <w:ind w:left="254" w:right="284"/>
              <w:jc w:val="both"/>
              <w:rPr>
                <w:b/>
              </w:rPr>
            </w:pPr>
            <w:r w:rsidRPr="007A626A">
              <w:rPr>
                <w:b/>
              </w:rPr>
              <w:t>BACKGROUND REFERENCES</w:t>
            </w:r>
          </w:p>
          <w:p w:rsidR="007A626A" w:rsidRPr="007A626A" w:rsidRDefault="007A626A" w:rsidP="005974F2">
            <w:pPr>
              <w:pStyle w:val="TableParagraph"/>
              <w:ind w:left="254" w:right="284"/>
              <w:jc w:val="both"/>
              <w:rPr>
                <w:b/>
              </w:rPr>
            </w:pPr>
          </w:p>
          <w:p w:rsidR="005974F2" w:rsidRDefault="005974F2" w:rsidP="005974F2">
            <w:pPr>
              <w:pStyle w:val="TableParagraph"/>
              <w:ind w:left="254" w:right="284"/>
              <w:jc w:val="both"/>
            </w:pPr>
            <w:r>
              <w:t>Duty of Candour in the Health (Tobacco, Nicotine etc. and Care) (Scotland) Act 2016 and related Regulations.</w:t>
            </w:r>
          </w:p>
          <w:p w:rsidR="00080BB9" w:rsidRDefault="00080BB9" w:rsidP="005974F2">
            <w:pPr>
              <w:pStyle w:val="TableParagraph"/>
              <w:ind w:left="254" w:right="284"/>
              <w:jc w:val="both"/>
            </w:pPr>
          </w:p>
          <w:p w:rsidR="005974F2" w:rsidRDefault="005974F2" w:rsidP="005974F2">
            <w:pPr>
              <w:pStyle w:val="TableParagraph"/>
              <w:ind w:left="254" w:right="284"/>
              <w:jc w:val="both"/>
            </w:pPr>
            <w:r>
              <w:t>Organisational Duty of Candour guidance, Scottish Government.</w:t>
            </w:r>
          </w:p>
          <w:p w:rsidR="00080BB9" w:rsidRDefault="00080BB9" w:rsidP="005974F2">
            <w:pPr>
              <w:pStyle w:val="TableParagraph"/>
              <w:ind w:left="254" w:right="284"/>
              <w:jc w:val="both"/>
            </w:pPr>
          </w:p>
          <w:p w:rsidR="005974F2" w:rsidRDefault="005974F2" w:rsidP="006C1FDC">
            <w:pPr>
              <w:pStyle w:val="TableParagraph"/>
              <w:ind w:left="254" w:right="284"/>
              <w:jc w:val="both"/>
            </w:pPr>
            <w:r>
              <w:t xml:space="preserve">West Lothian - Duty of Candour Procedure </w:t>
            </w:r>
          </w:p>
        </w:tc>
      </w:tr>
    </w:tbl>
    <w:p w:rsidR="00A2239D" w:rsidRDefault="00A2239D" w:rsidP="00A2239D">
      <w:pPr>
        <w:tabs>
          <w:tab w:val="left" w:pos="2357"/>
          <w:tab w:val="left" w:pos="3797"/>
        </w:tabs>
        <w:spacing w:before="93"/>
      </w:pPr>
      <w:r>
        <w:t xml:space="preserve">   </w:t>
      </w:r>
    </w:p>
    <w:p w:rsidR="00EA52D9" w:rsidRPr="005974F2" w:rsidRDefault="00A2239D" w:rsidP="00A2239D">
      <w:pPr>
        <w:tabs>
          <w:tab w:val="left" w:pos="2357"/>
          <w:tab w:val="left" w:pos="3797"/>
        </w:tabs>
        <w:spacing w:before="93"/>
      </w:pPr>
      <w:r>
        <w:t xml:space="preserve">   </w:t>
      </w:r>
      <w:r w:rsidR="00BC7622" w:rsidRPr="005974F2">
        <w:t>Appendices:</w:t>
      </w:r>
      <w:r w:rsidR="00BC7622" w:rsidRPr="005974F2">
        <w:tab/>
        <w:t>Appendix</w:t>
      </w:r>
      <w:r w:rsidR="00BC7622" w:rsidRPr="005974F2">
        <w:rPr>
          <w:spacing w:val="-2"/>
        </w:rPr>
        <w:t xml:space="preserve"> </w:t>
      </w:r>
      <w:r w:rsidR="00BC7622" w:rsidRPr="005974F2">
        <w:t>1</w:t>
      </w:r>
      <w:r w:rsidR="00BC7622" w:rsidRPr="005974F2">
        <w:tab/>
        <w:t xml:space="preserve">Duty </w:t>
      </w:r>
      <w:r w:rsidR="007836BF" w:rsidRPr="005974F2">
        <w:t>of</w:t>
      </w:r>
      <w:r w:rsidR="00BC7622" w:rsidRPr="005974F2">
        <w:t xml:space="preserve"> Candour Annual</w:t>
      </w:r>
      <w:r w:rsidR="00BC7622" w:rsidRPr="005974F2">
        <w:rPr>
          <w:spacing w:val="-6"/>
        </w:rPr>
        <w:t xml:space="preserve"> </w:t>
      </w:r>
      <w:r w:rsidR="00BC7622" w:rsidRPr="005974F2">
        <w:t>Report</w:t>
      </w:r>
    </w:p>
    <w:p w:rsidR="00EA52D9" w:rsidRPr="005974F2" w:rsidRDefault="00EA52D9">
      <w:pPr>
        <w:pStyle w:val="BodyText"/>
        <w:spacing w:before="1"/>
        <w:rPr>
          <w:sz w:val="22"/>
          <w:szCs w:val="22"/>
        </w:rPr>
      </w:pPr>
    </w:p>
    <w:p w:rsidR="00EA52D9" w:rsidRPr="005974F2" w:rsidRDefault="00BC7622">
      <w:pPr>
        <w:tabs>
          <w:tab w:val="left" w:pos="2357"/>
        </w:tabs>
        <w:spacing w:line="229" w:lineRule="exact"/>
        <w:ind w:left="209"/>
      </w:pPr>
      <w:r w:rsidRPr="005974F2">
        <w:t>Contact</w:t>
      </w:r>
      <w:r w:rsidRPr="005974F2">
        <w:rPr>
          <w:spacing w:val="-2"/>
        </w:rPr>
        <w:t xml:space="preserve"> </w:t>
      </w:r>
      <w:r w:rsidRPr="005974F2">
        <w:t>Person:</w:t>
      </w:r>
      <w:r w:rsidRPr="005974F2">
        <w:tab/>
        <w:t>Robin Allen, Senior Manager, Older People Services</w:t>
      </w:r>
    </w:p>
    <w:p w:rsidR="00EA52D9" w:rsidRDefault="00327A66" w:rsidP="005974F2">
      <w:pPr>
        <w:ind w:left="2357" w:right="4540" w:hanging="1"/>
        <w:rPr>
          <w:color w:val="0000FF"/>
          <w:w w:val="95"/>
        </w:rPr>
      </w:pPr>
      <w:hyperlink r:id="rId9" w:history="1">
        <w:r w:rsidRPr="00E000D0">
          <w:rPr>
            <w:rStyle w:val="Hyperlink"/>
            <w:w w:val="95"/>
          </w:rPr>
          <w:t>robin.allen@westlothian.gov.uk</w:t>
        </w:r>
      </w:hyperlink>
      <w:r w:rsidR="00BC7622" w:rsidRPr="005974F2">
        <w:rPr>
          <w:color w:val="0000FF"/>
          <w:w w:val="95"/>
        </w:rPr>
        <w:t xml:space="preserve"> </w:t>
      </w:r>
    </w:p>
    <w:p w:rsidR="005974F2" w:rsidRPr="005974F2" w:rsidRDefault="005974F2" w:rsidP="005974F2">
      <w:pPr>
        <w:ind w:left="2357" w:right="4540" w:hanging="1"/>
      </w:pPr>
    </w:p>
    <w:p w:rsidR="00EA52D9" w:rsidRPr="006361D6" w:rsidRDefault="00BC7622" w:rsidP="006361D6">
      <w:pPr>
        <w:spacing w:before="115" w:line="252" w:lineRule="exact"/>
        <w:ind w:left="1845" w:firstLine="511"/>
      </w:pPr>
      <w:r w:rsidRPr="006361D6">
        <w:t>Jo Mac</w:t>
      </w:r>
      <w:r w:rsidR="006A260A" w:rsidRPr="006361D6">
        <w:t>P</w:t>
      </w:r>
      <w:r w:rsidRPr="006361D6">
        <w:t>herson</w:t>
      </w:r>
      <w:r w:rsidR="006361D6" w:rsidRPr="006361D6">
        <w:t xml:space="preserve">, </w:t>
      </w:r>
      <w:r w:rsidRPr="006361D6">
        <w:t>Head of Social Policy</w:t>
      </w:r>
    </w:p>
    <w:p w:rsidR="005974F2" w:rsidRDefault="005974F2" w:rsidP="005974F2">
      <w:pPr>
        <w:spacing w:line="251" w:lineRule="exact"/>
        <w:ind w:left="1845" w:firstLine="511"/>
        <w:rPr>
          <w:b/>
        </w:rPr>
      </w:pPr>
    </w:p>
    <w:p w:rsidR="00EA52D9" w:rsidRDefault="00BC7622">
      <w:pPr>
        <w:spacing w:line="256" w:lineRule="exact"/>
        <w:ind w:left="209"/>
        <w:rPr>
          <w:b/>
        </w:rPr>
      </w:pPr>
      <w:r w:rsidRPr="005974F2">
        <w:t>Date of meeting:</w:t>
      </w:r>
      <w:r w:rsidR="005974F2">
        <w:rPr>
          <w:b/>
        </w:rPr>
        <w:tab/>
        <w:t xml:space="preserve">    </w:t>
      </w:r>
      <w:r w:rsidR="00327A66">
        <w:t>4</w:t>
      </w:r>
      <w:r w:rsidRPr="005974F2">
        <w:rPr>
          <w:position w:val="8"/>
          <w:sz w:val="14"/>
        </w:rPr>
        <w:t xml:space="preserve"> </w:t>
      </w:r>
      <w:r w:rsidRPr="005974F2">
        <w:t>June 202</w:t>
      </w:r>
      <w:r w:rsidR="00327A66">
        <w:t>6</w:t>
      </w:r>
    </w:p>
    <w:p w:rsidR="00EA52D9" w:rsidRDefault="00EA52D9">
      <w:pPr>
        <w:spacing w:line="256" w:lineRule="exact"/>
        <w:sectPr w:rsidR="00EA52D9">
          <w:headerReference w:type="default" r:id="rId10"/>
          <w:footerReference w:type="default" r:id="rId11"/>
          <w:pgSz w:w="11910" w:h="16850"/>
          <w:pgMar w:top="720" w:right="820" w:bottom="920" w:left="880" w:header="349" w:footer="725" w:gutter="0"/>
          <w:cols w:space="720"/>
        </w:sectPr>
      </w:pPr>
    </w:p>
    <w:p w:rsidR="00EA52D9" w:rsidRDefault="00EA52D9">
      <w:pPr>
        <w:pStyle w:val="BodyText"/>
        <w:spacing w:before="4"/>
        <w:rPr>
          <w:b/>
          <w:sz w:val="23"/>
        </w:rPr>
      </w:pPr>
    </w:p>
    <w:p w:rsidR="00EA52D9" w:rsidRDefault="00BC7622">
      <w:pPr>
        <w:pStyle w:val="BodyText"/>
        <w:ind w:left="560"/>
        <w:rPr>
          <w:sz w:val="20"/>
        </w:rPr>
      </w:pPr>
      <w:r>
        <w:rPr>
          <w:noProof/>
          <w:sz w:val="20"/>
        </w:rPr>
        <w:drawing>
          <wp:inline distT="0" distB="0" distL="0" distR="0" wp14:anchorId="2320EE3B" wp14:editId="4160004F">
            <wp:extent cx="5480050" cy="7239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5482011" cy="724159"/>
                    </a:xfrm>
                    <a:prstGeom prst="rect">
                      <a:avLst/>
                    </a:prstGeom>
                  </pic:spPr>
                </pic:pic>
              </a:graphicData>
            </a:graphic>
          </wp:inline>
        </w:drawing>
      </w: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EA52D9">
      <w:pPr>
        <w:pStyle w:val="BodyText"/>
        <w:rPr>
          <w:b/>
          <w:sz w:val="20"/>
        </w:rPr>
      </w:pPr>
    </w:p>
    <w:p w:rsidR="00EA52D9" w:rsidRDefault="00BC7622">
      <w:pPr>
        <w:pStyle w:val="Heading1"/>
        <w:spacing w:before="217" w:line="720" w:lineRule="auto"/>
        <w:ind w:left="2002"/>
      </w:pPr>
      <w:bookmarkStart w:id="1" w:name="30-05-22_Duty_of_Candour_annual_report"/>
      <w:bookmarkEnd w:id="1"/>
      <w:r>
        <w:t>Duty of Candour Annual Report West Lothian Council</w:t>
      </w:r>
    </w:p>
    <w:p w:rsidR="00EA52D9" w:rsidRDefault="00BC7622">
      <w:pPr>
        <w:spacing w:before="1"/>
        <w:ind w:left="2001" w:right="2064"/>
        <w:jc w:val="center"/>
        <w:rPr>
          <w:sz w:val="44"/>
        </w:rPr>
      </w:pPr>
      <w:r>
        <w:rPr>
          <w:sz w:val="44"/>
        </w:rPr>
        <w:t>Social Policy</w:t>
      </w:r>
    </w:p>
    <w:p w:rsidR="00EA52D9" w:rsidRDefault="00EA52D9">
      <w:pPr>
        <w:pStyle w:val="BodyText"/>
        <w:rPr>
          <w:sz w:val="48"/>
        </w:rPr>
      </w:pPr>
    </w:p>
    <w:p w:rsidR="00EA52D9" w:rsidRDefault="00EA52D9">
      <w:pPr>
        <w:pStyle w:val="BodyText"/>
        <w:spacing w:before="10"/>
        <w:rPr>
          <w:sz w:val="39"/>
        </w:rPr>
      </w:pPr>
    </w:p>
    <w:p w:rsidR="00EA52D9" w:rsidRDefault="00BC7622">
      <w:pPr>
        <w:ind w:left="2001" w:right="2064"/>
        <w:jc w:val="center"/>
        <w:rPr>
          <w:sz w:val="44"/>
        </w:rPr>
      </w:pPr>
      <w:r>
        <w:rPr>
          <w:sz w:val="44"/>
        </w:rPr>
        <w:t>1 April 20</w:t>
      </w:r>
      <w:r w:rsidR="00327A66">
        <w:rPr>
          <w:sz w:val="44"/>
        </w:rPr>
        <w:t>25</w:t>
      </w:r>
      <w:r>
        <w:rPr>
          <w:sz w:val="44"/>
        </w:rPr>
        <w:t xml:space="preserve"> – 31 March 202</w:t>
      </w:r>
      <w:r w:rsidR="00327A66">
        <w:rPr>
          <w:sz w:val="44"/>
        </w:rPr>
        <w:t>6</w:t>
      </w:r>
    </w:p>
    <w:p w:rsidR="00EA52D9" w:rsidRDefault="00EA52D9">
      <w:pPr>
        <w:jc w:val="center"/>
        <w:rPr>
          <w:sz w:val="44"/>
        </w:rPr>
        <w:sectPr w:rsidR="00EA52D9">
          <w:headerReference w:type="default" r:id="rId13"/>
          <w:footerReference w:type="default" r:id="rId14"/>
          <w:pgSz w:w="11910" w:h="16840"/>
          <w:pgMar w:top="1200" w:right="820" w:bottom="2060" w:left="880" w:header="349" w:footer="1875" w:gutter="0"/>
          <w:cols w:space="720"/>
        </w:sectPr>
      </w:pPr>
    </w:p>
    <w:p w:rsidR="00EA52D9" w:rsidRDefault="00EA52D9">
      <w:pPr>
        <w:pStyle w:val="BodyText"/>
        <w:rPr>
          <w:sz w:val="20"/>
        </w:rPr>
      </w:pPr>
    </w:p>
    <w:p w:rsidR="00EA52D9" w:rsidRPr="00BD18C8" w:rsidRDefault="00BC7622" w:rsidP="00BD18C8">
      <w:pPr>
        <w:pStyle w:val="ListParagraph"/>
        <w:numPr>
          <w:ilvl w:val="0"/>
          <w:numId w:val="8"/>
        </w:numPr>
        <w:spacing w:before="93"/>
        <w:rPr>
          <w:b/>
          <w:sz w:val="23"/>
        </w:rPr>
      </w:pPr>
      <w:r w:rsidRPr="00BD18C8">
        <w:rPr>
          <w:b/>
          <w:sz w:val="23"/>
        </w:rPr>
        <w:t>Duty of Candour Annual Report</w:t>
      </w:r>
    </w:p>
    <w:p w:rsidR="00EA52D9" w:rsidRDefault="00EA52D9">
      <w:pPr>
        <w:pStyle w:val="BodyText"/>
        <w:spacing w:before="1"/>
        <w:rPr>
          <w:b/>
          <w:sz w:val="23"/>
        </w:rPr>
      </w:pPr>
    </w:p>
    <w:p w:rsidR="00EA52D9" w:rsidRPr="00714048" w:rsidRDefault="00BC7622">
      <w:pPr>
        <w:pStyle w:val="BodyText"/>
        <w:spacing w:before="1"/>
        <w:ind w:left="560" w:right="614"/>
        <w:jc w:val="both"/>
        <w:rPr>
          <w:sz w:val="22"/>
          <w:szCs w:val="22"/>
        </w:rPr>
      </w:pPr>
      <w:r w:rsidRPr="00714048">
        <w:rPr>
          <w:sz w:val="22"/>
          <w:szCs w:val="22"/>
        </w:rPr>
        <w:t>All health and social care services in Scotland have a duty of candour. This is a legal requirement which means that when unintended or unexpected events happen that result</w:t>
      </w:r>
      <w:r w:rsidRPr="00714048">
        <w:rPr>
          <w:spacing w:val="-7"/>
          <w:sz w:val="22"/>
          <w:szCs w:val="22"/>
        </w:rPr>
        <w:t xml:space="preserve"> </w:t>
      </w:r>
      <w:r w:rsidRPr="00714048">
        <w:rPr>
          <w:sz w:val="22"/>
          <w:szCs w:val="22"/>
        </w:rPr>
        <w:t>in</w:t>
      </w:r>
      <w:r w:rsidRPr="00714048">
        <w:rPr>
          <w:spacing w:val="-8"/>
          <w:sz w:val="22"/>
          <w:szCs w:val="22"/>
        </w:rPr>
        <w:t xml:space="preserve"> </w:t>
      </w:r>
      <w:r w:rsidRPr="00714048">
        <w:rPr>
          <w:sz w:val="22"/>
          <w:szCs w:val="22"/>
        </w:rPr>
        <w:t>death</w:t>
      </w:r>
      <w:r w:rsidRPr="00714048">
        <w:rPr>
          <w:spacing w:val="-8"/>
          <w:sz w:val="22"/>
          <w:szCs w:val="22"/>
        </w:rPr>
        <w:t xml:space="preserve"> </w:t>
      </w:r>
      <w:r w:rsidRPr="00714048">
        <w:rPr>
          <w:sz w:val="22"/>
          <w:szCs w:val="22"/>
        </w:rPr>
        <w:t>or</w:t>
      </w:r>
      <w:r w:rsidRPr="00714048">
        <w:rPr>
          <w:spacing w:val="-8"/>
          <w:sz w:val="22"/>
          <w:szCs w:val="22"/>
        </w:rPr>
        <w:t xml:space="preserve"> </w:t>
      </w:r>
      <w:r w:rsidRPr="00714048">
        <w:rPr>
          <w:sz w:val="22"/>
          <w:szCs w:val="22"/>
        </w:rPr>
        <w:t>harm</w:t>
      </w:r>
      <w:r w:rsidRPr="00714048">
        <w:rPr>
          <w:spacing w:val="-10"/>
          <w:sz w:val="22"/>
          <w:szCs w:val="22"/>
        </w:rPr>
        <w:t xml:space="preserve"> </w:t>
      </w:r>
      <w:r w:rsidRPr="00714048">
        <w:rPr>
          <w:sz w:val="22"/>
          <w:szCs w:val="22"/>
        </w:rPr>
        <w:t>as</w:t>
      </w:r>
      <w:r w:rsidRPr="00714048">
        <w:rPr>
          <w:spacing w:val="-7"/>
          <w:sz w:val="22"/>
          <w:szCs w:val="22"/>
        </w:rPr>
        <w:t xml:space="preserve"> </w:t>
      </w:r>
      <w:r w:rsidRPr="00714048">
        <w:rPr>
          <w:sz w:val="22"/>
          <w:szCs w:val="22"/>
        </w:rPr>
        <w:t>defined</w:t>
      </w:r>
      <w:r w:rsidRPr="00714048">
        <w:rPr>
          <w:spacing w:val="-9"/>
          <w:sz w:val="22"/>
          <w:szCs w:val="22"/>
        </w:rPr>
        <w:t xml:space="preserve"> </w:t>
      </w:r>
      <w:r w:rsidRPr="00714048">
        <w:rPr>
          <w:sz w:val="22"/>
          <w:szCs w:val="22"/>
        </w:rPr>
        <w:t>in</w:t>
      </w:r>
      <w:r w:rsidRPr="00714048">
        <w:rPr>
          <w:spacing w:val="-8"/>
          <w:sz w:val="22"/>
          <w:szCs w:val="22"/>
        </w:rPr>
        <w:t xml:space="preserve"> </w:t>
      </w:r>
      <w:r w:rsidRPr="00714048">
        <w:rPr>
          <w:sz w:val="22"/>
          <w:szCs w:val="22"/>
        </w:rPr>
        <w:t>the</w:t>
      </w:r>
      <w:r w:rsidRPr="00714048">
        <w:rPr>
          <w:spacing w:val="-8"/>
          <w:sz w:val="22"/>
          <w:szCs w:val="22"/>
        </w:rPr>
        <w:t xml:space="preserve"> </w:t>
      </w:r>
      <w:r w:rsidRPr="00714048">
        <w:rPr>
          <w:sz w:val="22"/>
          <w:szCs w:val="22"/>
        </w:rPr>
        <w:t>Act,</w:t>
      </w:r>
      <w:r w:rsidRPr="00714048">
        <w:rPr>
          <w:spacing w:val="-7"/>
          <w:sz w:val="22"/>
          <w:szCs w:val="22"/>
        </w:rPr>
        <w:t xml:space="preserve"> </w:t>
      </w:r>
      <w:r w:rsidRPr="00714048">
        <w:rPr>
          <w:sz w:val="22"/>
          <w:szCs w:val="22"/>
        </w:rPr>
        <w:t>the</w:t>
      </w:r>
      <w:r w:rsidRPr="00714048">
        <w:rPr>
          <w:spacing w:val="-8"/>
          <w:sz w:val="22"/>
          <w:szCs w:val="22"/>
        </w:rPr>
        <w:t xml:space="preserve"> </w:t>
      </w:r>
      <w:r w:rsidRPr="00714048">
        <w:rPr>
          <w:sz w:val="22"/>
          <w:szCs w:val="22"/>
        </w:rPr>
        <w:t>people</w:t>
      </w:r>
      <w:r w:rsidRPr="00714048">
        <w:rPr>
          <w:spacing w:val="-8"/>
          <w:sz w:val="22"/>
          <w:szCs w:val="22"/>
        </w:rPr>
        <w:t xml:space="preserve"> </w:t>
      </w:r>
      <w:r w:rsidRPr="00714048">
        <w:rPr>
          <w:sz w:val="22"/>
          <w:szCs w:val="22"/>
        </w:rPr>
        <w:t>affected</w:t>
      </w:r>
      <w:r w:rsidRPr="00714048">
        <w:rPr>
          <w:spacing w:val="-8"/>
          <w:sz w:val="22"/>
          <w:szCs w:val="22"/>
        </w:rPr>
        <w:t xml:space="preserve"> </w:t>
      </w:r>
      <w:r w:rsidRPr="00714048">
        <w:rPr>
          <w:sz w:val="22"/>
          <w:szCs w:val="22"/>
        </w:rPr>
        <w:t>understand</w:t>
      </w:r>
      <w:r w:rsidRPr="00714048">
        <w:rPr>
          <w:spacing w:val="-9"/>
          <w:sz w:val="22"/>
          <w:szCs w:val="22"/>
        </w:rPr>
        <w:t xml:space="preserve"> </w:t>
      </w:r>
      <w:r w:rsidRPr="00714048">
        <w:rPr>
          <w:sz w:val="22"/>
          <w:szCs w:val="22"/>
        </w:rPr>
        <w:t>what</w:t>
      </w:r>
      <w:r w:rsidRPr="00714048">
        <w:rPr>
          <w:spacing w:val="-9"/>
          <w:sz w:val="22"/>
          <w:szCs w:val="22"/>
        </w:rPr>
        <w:t xml:space="preserve"> </w:t>
      </w:r>
      <w:r w:rsidRPr="00714048">
        <w:rPr>
          <w:sz w:val="22"/>
          <w:szCs w:val="22"/>
        </w:rPr>
        <w:t>has happened, receive an apology, and that organisations learn how to improve for the future.</w:t>
      </w:r>
    </w:p>
    <w:p w:rsidR="00047EC5" w:rsidRDefault="00047EC5">
      <w:pPr>
        <w:pStyle w:val="BodyText"/>
        <w:ind w:left="559" w:right="615"/>
        <w:jc w:val="both"/>
        <w:rPr>
          <w:sz w:val="22"/>
          <w:szCs w:val="22"/>
        </w:rPr>
      </w:pPr>
    </w:p>
    <w:p w:rsidR="00EA52D9" w:rsidRPr="00714048" w:rsidRDefault="00BC7622">
      <w:pPr>
        <w:pStyle w:val="BodyText"/>
        <w:ind w:left="559" w:right="615"/>
        <w:jc w:val="both"/>
        <w:rPr>
          <w:sz w:val="22"/>
          <w:szCs w:val="22"/>
        </w:rPr>
      </w:pPr>
      <w:r w:rsidRPr="00714048">
        <w:rPr>
          <w:sz w:val="22"/>
          <w:szCs w:val="22"/>
        </w:rPr>
        <w:t>An important part of this duty is that we provide an annual report about how the duty of candour is implemented in our services. This report describes how West Lothian Council</w:t>
      </w:r>
      <w:r w:rsidRPr="00714048">
        <w:rPr>
          <w:spacing w:val="-8"/>
          <w:sz w:val="22"/>
          <w:szCs w:val="22"/>
        </w:rPr>
        <w:t xml:space="preserve"> </w:t>
      </w:r>
      <w:r w:rsidRPr="00714048">
        <w:rPr>
          <w:sz w:val="22"/>
          <w:szCs w:val="22"/>
        </w:rPr>
        <w:t>Social</w:t>
      </w:r>
      <w:r w:rsidRPr="00714048">
        <w:rPr>
          <w:spacing w:val="-10"/>
          <w:sz w:val="22"/>
          <w:szCs w:val="22"/>
        </w:rPr>
        <w:t xml:space="preserve"> </w:t>
      </w:r>
      <w:r w:rsidRPr="00714048">
        <w:rPr>
          <w:sz w:val="22"/>
          <w:szCs w:val="22"/>
        </w:rPr>
        <w:t>Policy</w:t>
      </w:r>
      <w:r w:rsidRPr="00714048">
        <w:rPr>
          <w:spacing w:val="-10"/>
          <w:sz w:val="22"/>
          <w:szCs w:val="22"/>
        </w:rPr>
        <w:t xml:space="preserve"> </w:t>
      </w:r>
      <w:r w:rsidRPr="00714048">
        <w:rPr>
          <w:sz w:val="22"/>
          <w:szCs w:val="22"/>
        </w:rPr>
        <w:t>services</w:t>
      </w:r>
      <w:r w:rsidRPr="00714048">
        <w:rPr>
          <w:spacing w:val="-7"/>
          <w:sz w:val="22"/>
          <w:szCs w:val="22"/>
        </w:rPr>
        <w:t xml:space="preserve"> </w:t>
      </w:r>
      <w:r w:rsidRPr="00714048">
        <w:rPr>
          <w:sz w:val="22"/>
          <w:szCs w:val="22"/>
        </w:rPr>
        <w:t>has</w:t>
      </w:r>
      <w:r w:rsidRPr="00714048">
        <w:rPr>
          <w:spacing w:val="-7"/>
          <w:sz w:val="22"/>
          <w:szCs w:val="22"/>
        </w:rPr>
        <w:t xml:space="preserve"> </w:t>
      </w:r>
      <w:r w:rsidRPr="00714048">
        <w:rPr>
          <w:sz w:val="22"/>
          <w:szCs w:val="22"/>
        </w:rPr>
        <w:t>operated</w:t>
      </w:r>
      <w:r w:rsidRPr="00714048">
        <w:rPr>
          <w:spacing w:val="-9"/>
          <w:sz w:val="22"/>
          <w:szCs w:val="22"/>
        </w:rPr>
        <w:t xml:space="preserve"> </w:t>
      </w:r>
      <w:r w:rsidRPr="00714048">
        <w:rPr>
          <w:sz w:val="22"/>
          <w:szCs w:val="22"/>
        </w:rPr>
        <w:t>the</w:t>
      </w:r>
      <w:r w:rsidRPr="00714048">
        <w:rPr>
          <w:spacing w:val="-6"/>
          <w:sz w:val="22"/>
          <w:szCs w:val="22"/>
        </w:rPr>
        <w:t xml:space="preserve"> </w:t>
      </w:r>
      <w:r w:rsidRPr="00714048">
        <w:rPr>
          <w:sz w:val="22"/>
          <w:szCs w:val="22"/>
        </w:rPr>
        <w:t>duty</w:t>
      </w:r>
      <w:r w:rsidRPr="00714048">
        <w:rPr>
          <w:spacing w:val="-10"/>
          <w:sz w:val="22"/>
          <w:szCs w:val="22"/>
        </w:rPr>
        <w:t xml:space="preserve"> </w:t>
      </w:r>
      <w:r w:rsidRPr="00714048">
        <w:rPr>
          <w:sz w:val="22"/>
          <w:szCs w:val="22"/>
        </w:rPr>
        <w:t>of</w:t>
      </w:r>
      <w:r w:rsidRPr="00714048">
        <w:rPr>
          <w:spacing w:val="-4"/>
          <w:sz w:val="22"/>
          <w:szCs w:val="22"/>
        </w:rPr>
        <w:t xml:space="preserve"> </w:t>
      </w:r>
      <w:r w:rsidRPr="00714048">
        <w:rPr>
          <w:sz w:val="22"/>
          <w:szCs w:val="22"/>
        </w:rPr>
        <w:t>candour</w:t>
      </w:r>
      <w:r w:rsidRPr="00714048">
        <w:rPr>
          <w:spacing w:val="-8"/>
          <w:sz w:val="22"/>
          <w:szCs w:val="22"/>
        </w:rPr>
        <w:t xml:space="preserve"> </w:t>
      </w:r>
      <w:r w:rsidRPr="00714048">
        <w:rPr>
          <w:sz w:val="22"/>
          <w:szCs w:val="22"/>
        </w:rPr>
        <w:t>between</w:t>
      </w:r>
      <w:r w:rsidRPr="00714048">
        <w:rPr>
          <w:spacing w:val="-6"/>
          <w:sz w:val="22"/>
          <w:szCs w:val="22"/>
        </w:rPr>
        <w:t xml:space="preserve"> </w:t>
      </w:r>
      <w:r w:rsidRPr="00714048">
        <w:rPr>
          <w:sz w:val="22"/>
          <w:szCs w:val="22"/>
        </w:rPr>
        <w:t>1</w:t>
      </w:r>
      <w:r w:rsidRPr="00714048">
        <w:rPr>
          <w:spacing w:val="-7"/>
          <w:sz w:val="22"/>
          <w:szCs w:val="22"/>
        </w:rPr>
        <w:t xml:space="preserve"> </w:t>
      </w:r>
      <w:r w:rsidRPr="00714048">
        <w:rPr>
          <w:sz w:val="22"/>
          <w:szCs w:val="22"/>
        </w:rPr>
        <w:t>April</w:t>
      </w:r>
      <w:r w:rsidRPr="00714048">
        <w:rPr>
          <w:spacing w:val="-7"/>
          <w:sz w:val="22"/>
          <w:szCs w:val="22"/>
        </w:rPr>
        <w:t xml:space="preserve"> </w:t>
      </w:r>
      <w:r w:rsidRPr="00714048">
        <w:rPr>
          <w:sz w:val="22"/>
          <w:szCs w:val="22"/>
        </w:rPr>
        <w:t>202</w:t>
      </w:r>
      <w:r w:rsidR="00327A66">
        <w:rPr>
          <w:sz w:val="22"/>
          <w:szCs w:val="22"/>
        </w:rPr>
        <w:t>5</w:t>
      </w:r>
      <w:r w:rsidRPr="00714048">
        <w:rPr>
          <w:sz w:val="22"/>
          <w:szCs w:val="22"/>
        </w:rPr>
        <w:t xml:space="preserve"> and 31 March</w:t>
      </w:r>
      <w:r w:rsidRPr="00714048">
        <w:rPr>
          <w:spacing w:val="-2"/>
          <w:sz w:val="22"/>
          <w:szCs w:val="22"/>
        </w:rPr>
        <w:t xml:space="preserve"> </w:t>
      </w:r>
      <w:r w:rsidRPr="00714048">
        <w:rPr>
          <w:sz w:val="22"/>
          <w:szCs w:val="22"/>
        </w:rPr>
        <w:t>202</w:t>
      </w:r>
      <w:r w:rsidR="00327A66">
        <w:rPr>
          <w:sz w:val="22"/>
          <w:szCs w:val="22"/>
        </w:rPr>
        <w:t>6</w:t>
      </w:r>
      <w:r w:rsidR="00B30742" w:rsidRPr="00714048">
        <w:rPr>
          <w:sz w:val="22"/>
          <w:szCs w:val="22"/>
        </w:rPr>
        <w:t>.</w:t>
      </w:r>
    </w:p>
    <w:p w:rsidR="00EA52D9" w:rsidRPr="00714048" w:rsidRDefault="00EA52D9">
      <w:pPr>
        <w:pStyle w:val="BodyText"/>
        <w:rPr>
          <w:sz w:val="22"/>
          <w:szCs w:val="22"/>
        </w:rPr>
      </w:pPr>
    </w:p>
    <w:p w:rsidR="00EA52D9" w:rsidRPr="00714048" w:rsidRDefault="00EA52D9">
      <w:pPr>
        <w:pStyle w:val="BodyText"/>
        <w:rPr>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5"/>
        <w:gridCol w:w="4512"/>
      </w:tblGrid>
      <w:tr w:rsidR="00EA52D9" w:rsidRPr="00714048">
        <w:trPr>
          <w:trHeight w:val="1103"/>
        </w:trPr>
        <w:tc>
          <w:tcPr>
            <w:tcW w:w="4505" w:type="dxa"/>
            <w:shd w:val="clear" w:color="auto" w:fill="C0C0C0"/>
          </w:tcPr>
          <w:p w:rsidR="00EA52D9" w:rsidRPr="00714048" w:rsidRDefault="00BC7622">
            <w:pPr>
              <w:pStyle w:val="TableParagraph"/>
              <w:ind w:left="107"/>
            </w:pPr>
            <w:r w:rsidRPr="00714048">
              <w:t>Name &amp; address of Service</w:t>
            </w:r>
          </w:p>
        </w:tc>
        <w:tc>
          <w:tcPr>
            <w:tcW w:w="4512" w:type="dxa"/>
          </w:tcPr>
          <w:p w:rsidR="00EA52D9" w:rsidRPr="00714048" w:rsidRDefault="00BC7622">
            <w:pPr>
              <w:pStyle w:val="TableParagraph"/>
              <w:ind w:left="107" w:right="573"/>
            </w:pPr>
            <w:r w:rsidRPr="00714048">
              <w:t>West Lothian Council, West Lothian Civic Centre, Howden South Road, Livingston, West Lothian EH54 6FF</w:t>
            </w:r>
          </w:p>
        </w:tc>
      </w:tr>
      <w:tr w:rsidR="00EA52D9" w:rsidRPr="00714048">
        <w:trPr>
          <w:trHeight w:val="551"/>
        </w:trPr>
        <w:tc>
          <w:tcPr>
            <w:tcW w:w="4505" w:type="dxa"/>
            <w:shd w:val="clear" w:color="auto" w:fill="C0C0C0"/>
          </w:tcPr>
          <w:p w:rsidR="00EA52D9" w:rsidRPr="00714048" w:rsidRDefault="00BC7622">
            <w:pPr>
              <w:pStyle w:val="TableParagraph"/>
              <w:ind w:left="107"/>
            </w:pPr>
            <w:r w:rsidRPr="00714048">
              <w:t>Date of Report</w:t>
            </w:r>
          </w:p>
        </w:tc>
        <w:tc>
          <w:tcPr>
            <w:tcW w:w="4512" w:type="dxa"/>
          </w:tcPr>
          <w:p w:rsidR="00EA52D9" w:rsidRPr="00714048" w:rsidRDefault="00B81716">
            <w:pPr>
              <w:pStyle w:val="TableParagraph"/>
              <w:ind w:left="107"/>
            </w:pPr>
            <w:r>
              <w:t>April</w:t>
            </w:r>
            <w:r w:rsidR="00BC7622" w:rsidRPr="00714048">
              <w:t xml:space="preserve"> 202</w:t>
            </w:r>
            <w:r w:rsidR="00327A66">
              <w:t>6</w:t>
            </w:r>
          </w:p>
        </w:tc>
      </w:tr>
      <w:tr w:rsidR="00EA52D9" w:rsidRPr="00714048">
        <w:trPr>
          <w:trHeight w:val="6623"/>
        </w:trPr>
        <w:tc>
          <w:tcPr>
            <w:tcW w:w="4505" w:type="dxa"/>
            <w:shd w:val="clear" w:color="auto" w:fill="C0C0C0"/>
          </w:tcPr>
          <w:p w:rsidR="00EA52D9" w:rsidRPr="00714048" w:rsidRDefault="00BC7622">
            <w:pPr>
              <w:pStyle w:val="TableParagraph"/>
              <w:ind w:left="107" w:right="178"/>
            </w:pPr>
            <w:r w:rsidRPr="00714048">
              <w:t xml:space="preserve">How have you made sure that you (and your staff) understand your responsibilities relating to the </w:t>
            </w:r>
            <w:r w:rsidR="00B81716">
              <w:t>D</w:t>
            </w:r>
            <w:r w:rsidRPr="00714048">
              <w:t>uty of Candour and have systems in place to respond effectively?</w:t>
            </w:r>
          </w:p>
          <w:p w:rsidR="00EA52D9" w:rsidRPr="00714048" w:rsidRDefault="00EA52D9">
            <w:pPr>
              <w:pStyle w:val="TableParagraph"/>
            </w:pPr>
          </w:p>
          <w:p w:rsidR="00EA52D9" w:rsidRPr="00714048" w:rsidRDefault="00BC7622">
            <w:pPr>
              <w:pStyle w:val="TableParagraph"/>
              <w:ind w:left="107"/>
            </w:pPr>
            <w:r w:rsidRPr="00714048">
              <w:t>How have you done this?</w:t>
            </w:r>
          </w:p>
        </w:tc>
        <w:tc>
          <w:tcPr>
            <w:tcW w:w="4512" w:type="dxa"/>
          </w:tcPr>
          <w:p w:rsidR="00EA52D9" w:rsidRPr="00714048" w:rsidRDefault="00BC7622">
            <w:pPr>
              <w:pStyle w:val="TableParagraph"/>
              <w:ind w:left="107" w:right="93"/>
              <w:jc w:val="both"/>
            </w:pPr>
            <w:r w:rsidRPr="00714048">
              <w:t>Council</w:t>
            </w:r>
            <w:r w:rsidRPr="00714048">
              <w:rPr>
                <w:spacing w:val="-11"/>
              </w:rPr>
              <w:t xml:space="preserve"> </w:t>
            </w:r>
            <w:r w:rsidRPr="00714048">
              <w:t>Staff</w:t>
            </w:r>
            <w:r w:rsidRPr="00714048">
              <w:rPr>
                <w:spacing w:val="-9"/>
              </w:rPr>
              <w:t xml:space="preserve"> </w:t>
            </w:r>
            <w:r w:rsidRPr="00714048">
              <w:t>are</w:t>
            </w:r>
            <w:r w:rsidRPr="00714048">
              <w:rPr>
                <w:spacing w:val="-11"/>
              </w:rPr>
              <w:t xml:space="preserve"> </w:t>
            </w:r>
            <w:r w:rsidRPr="00714048">
              <w:t>made</w:t>
            </w:r>
            <w:r w:rsidRPr="00714048">
              <w:rPr>
                <w:spacing w:val="-11"/>
              </w:rPr>
              <w:t xml:space="preserve"> </w:t>
            </w:r>
            <w:r w:rsidRPr="00714048">
              <w:t>aware</w:t>
            </w:r>
            <w:r w:rsidRPr="00714048">
              <w:rPr>
                <w:spacing w:val="-9"/>
              </w:rPr>
              <w:t xml:space="preserve"> </w:t>
            </w:r>
            <w:r w:rsidRPr="00714048">
              <w:t>of</w:t>
            </w:r>
            <w:r w:rsidRPr="00714048">
              <w:rPr>
                <w:spacing w:val="-9"/>
              </w:rPr>
              <w:t xml:space="preserve"> </w:t>
            </w:r>
            <w:r w:rsidRPr="00714048">
              <w:t>the</w:t>
            </w:r>
            <w:r w:rsidRPr="00714048">
              <w:rPr>
                <w:spacing w:val="-11"/>
              </w:rPr>
              <w:t xml:space="preserve"> </w:t>
            </w:r>
            <w:r w:rsidRPr="00714048">
              <w:t>duty of candour and the procedure to be followed via staff team meetings and at one to one with team managers. The full procedure/process is available for all staff on the staff intranet and managers ensure staff know how to access</w:t>
            </w:r>
            <w:r w:rsidRPr="00714048">
              <w:rPr>
                <w:spacing w:val="-9"/>
              </w:rPr>
              <w:t xml:space="preserve"> </w:t>
            </w:r>
            <w:r w:rsidRPr="00714048">
              <w:t>this.</w:t>
            </w:r>
          </w:p>
          <w:p w:rsidR="00EA52D9" w:rsidRPr="00714048" w:rsidRDefault="00EA52D9">
            <w:pPr>
              <w:pStyle w:val="TableParagraph"/>
            </w:pPr>
          </w:p>
          <w:p w:rsidR="00EA52D9" w:rsidRPr="00714048" w:rsidRDefault="00CE7887" w:rsidP="00CE7887">
            <w:pPr>
              <w:pStyle w:val="TableParagraph"/>
              <w:ind w:left="107" w:right="94"/>
              <w:jc w:val="both"/>
            </w:pPr>
            <w:r w:rsidRPr="00714048">
              <w:t xml:space="preserve">A </w:t>
            </w:r>
            <w:r w:rsidR="00BC7622" w:rsidRPr="00714048">
              <w:t xml:space="preserve">Duty of Candour </w:t>
            </w:r>
            <w:r w:rsidRPr="00714048">
              <w:t xml:space="preserve">mandatory </w:t>
            </w:r>
            <w:r w:rsidR="00BC7622" w:rsidRPr="00714048">
              <w:t xml:space="preserve">e-learning module relevant to the position and role </w:t>
            </w:r>
            <w:r w:rsidRPr="00714048">
              <w:t xml:space="preserve">of the employee is completed </w:t>
            </w:r>
            <w:r w:rsidR="00BC7622" w:rsidRPr="00714048">
              <w:t>annually.</w:t>
            </w:r>
          </w:p>
          <w:p w:rsidR="00EA52D9" w:rsidRPr="00714048" w:rsidRDefault="00EA52D9">
            <w:pPr>
              <w:pStyle w:val="TableParagraph"/>
            </w:pPr>
          </w:p>
          <w:p w:rsidR="00CE7887" w:rsidRPr="00714048" w:rsidRDefault="00BC7622">
            <w:pPr>
              <w:pStyle w:val="TableParagraph"/>
              <w:ind w:left="107" w:right="92"/>
              <w:jc w:val="both"/>
            </w:pPr>
            <w:bookmarkStart w:id="2" w:name="_Hlk135384677"/>
            <w:r w:rsidRPr="00714048">
              <w:t>All external providers are required to evidence they have a duty of candour policy/procedure</w:t>
            </w:r>
            <w:r w:rsidRPr="00714048">
              <w:rPr>
                <w:spacing w:val="-13"/>
              </w:rPr>
              <w:t xml:space="preserve"> </w:t>
            </w:r>
            <w:r w:rsidRPr="00714048">
              <w:t>and</w:t>
            </w:r>
            <w:r w:rsidRPr="00714048">
              <w:rPr>
                <w:spacing w:val="-13"/>
              </w:rPr>
              <w:t xml:space="preserve"> </w:t>
            </w:r>
            <w:r w:rsidRPr="00714048">
              <w:t>that</w:t>
            </w:r>
            <w:r w:rsidRPr="00714048">
              <w:rPr>
                <w:spacing w:val="-12"/>
              </w:rPr>
              <w:t xml:space="preserve"> </w:t>
            </w:r>
            <w:r w:rsidRPr="00714048">
              <w:t>their</w:t>
            </w:r>
            <w:r w:rsidRPr="00714048">
              <w:rPr>
                <w:spacing w:val="-13"/>
              </w:rPr>
              <w:t xml:space="preserve"> </w:t>
            </w:r>
            <w:r w:rsidRPr="00714048">
              <w:t>staff</w:t>
            </w:r>
            <w:r w:rsidRPr="00714048">
              <w:rPr>
                <w:spacing w:val="-11"/>
              </w:rPr>
              <w:t xml:space="preserve"> </w:t>
            </w:r>
            <w:r w:rsidRPr="00714048">
              <w:t>have been</w:t>
            </w:r>
            <w:r w:rsidRPr="00714048">
              <w:rPr>
                <w:spacing w:val="-15"/>
              </w:rPr>
              <w:t xml:space="preserve"> </w:t>
            </w:r>
            <w:r w:rsidRPr="00714048">
              <w:t>made</w:t>
            </w:r>
            <w:r w:rsidRPr="00714048">
              <w:rPr>
                <w:spacing w:val="-14"/>
              </w:rPr>
              <w:t xml:space="preserve"> </w:t>
            </w:r>
            <w:r w:rsidRPr="00714048">
              <w:t>aware</w:t>
            </w:r>
            <w:r w:rsidRPr="00714048">
              <w:rPr>
                <w:spacing w:val="-14"/>
              </w:rPr>
              <w:t xml:space="preserve"> </w:t>
            </w:r>
            <w:r w:rsidRPr="00714048">
              <w:t>of</w:t>
            </w:r>
            <w:r w:rsidRPr="00714048">
              <w:rPr>
                <w:spacing w:val="-12"/>
              </w:rPr>
              <w:t xml:space="preserve"> </w:t>
            </w:r>
            <w:r w:rsidRPr="00714048">
              <w:t>this</w:t>
            </w:r>
            <w:r w:rsidRPr="00714048">
              <w:rPr>
                <w:spacing w:val="-15"/>
              </w:rPr>
              <w:t xml:space="preserve"> </w:t>
            </w:r>
            <w:r w:rsidRPr="00714048">
              <w:t>and</w:t>
            </w:r>
            <w:r w:rsidRPr="00714048">
              <w:rPr>
                <w:spacing w:val="-14"/>
              </w:rPr>
              <w:t xml:space="preserve"> </w:t>
            </w:r>
            <w:r w:rsidRPr="00714048">
              <w:t>understand the process when it is triggered.</w:t>
            </w:r>
          </w:p>
          <w:p w:rsidR="00CE7887" w:rsidRPr="00714048" w:rsidRDefault="00CE7887">
            <w:pPr>
              <w:pStyle w:val="TableParagraph"/>
              <w:ind w:left="107" w:right="92"/>
              <w:jc w:val="both"/>
            </w:pPr>
          </w:p>
          <w:p w:rsidR="00EA52D9" w:rsidRPr="00714048" w:rsidRDefault="00BC7622">
            <w:pPr>
              <w:pStyle w:val="TableParagraph"/>
              <w:ind w:left="107" w:right="92"/>
              <w:jc w:val="both"/>
            </w:pPr>
            <w:r w:rsidRPr="00714048">
              <w:t>Providers are also required to inform the council during annual monitoring if the duty has been</w:t>
            </w:r>
            <w:r w:rsidRPr="00714048">
              <w:rPr>
                <w:spacing w:val="-4"/>
              </w:rPr>
              <w:t xml:space="preserve"> </w:t>
            </w:r>
            <w:r w:rsidRPr="00714048">
              <w:t>triggered.</w:t>
            </w:r>
            <w:bookmarkEnd w:id="2"/>
          </w:p>
        </w:tc>
      </w:tr>
      <w:tr w:rsidR="00EA52D9" w:rsidRPr="00714048">
        <w:trPr>
          <w:trHeight w:val="827"/>
        </w:trPr>
        <w:tc>
          <w:tcPr>
            <w:tcW w:w="4505" w:type="dxa"/>
            <w:shd w:val="clear" w:color="auto" w:fill="C0C0C0"/>
          </w:tcPr>
          <w:p w:rsidR="00EA52D9" w:rsidRPr="00714048" w:rsidRDefault="00BC7622">
            <w:pPr>
              <w:pStyle w:val="TableParagraph"/>
              <w:ind w:left="107" w:right="299"/>
            </w:pPr>
            <w:r w:rsidRPr="00714048">
              <w:t>Do you have a Duty of Candour Policy or written duty of candour procedure?</w:t>
            </w:r>
          </w:p>
        </w:tc>
        <w:tc>
          <w:tcPr>
            <w:tcW w:w="4512" w:type="dxa"/>
          </w:tcPr>
          <w:p w:rsidR="00EA52D9" w:rsidRPr="00714048" w:rsidRDefault="00BC7622">
            <w:pPr>
              <w:pStyle w:val="TableParagraph"/>
              <w:ind w:left="107" w:right="319"/>
            </w:pPr>
            <w:r w:rsidRPr="00714048">
              <w:t>The Council has a written procedure which is available on the staff intranet.</w:t>
            </w:r>
          </w:p>
        </w:tc>
      </w:tr>
    </w:tbl>
    <w:p w:rsidR="00EA52D9" w:rsidRPr="00714048" w:rsidRDefault="00EA52D9">
      <w:pPr>
        <w:sectPr w:rsidR="00EA52D9" w:rsidRPr="00714048">
          <w:pgSz w:w="11910" w:h="16840"/>
          <w:pgMar w:top="1200" w:right="820" w:bottom="2060" w:left="880" w:header="349" w:footer="1875" w:gutter="0"/>
          <w:cols w:space="720"/>
        </w:sectPr>
      </w:pPr>
    </w:p>
    <w:p w:rsidR="00EA52D9" w:rsidRPr="00714048" w:rsidRDefault="00EA52D9">
      <w:pPr>
        <w:pStyle w:val="BodyText"/>
        <w:spacing w:before="3"/>
        <w:rPr>
          <w:sz w:val="22"/>
          <w:szCs w:val="22"/>
        </w:rPr>
      </w:pPr>
    </w:p>
    <w:p w:rsidR="00EA52D9" w:rsidRPr="00714048" w:rsidRDefault="00BC7622" w:rsidP="00BD18C8">
      <w:pPr>
        <w:pStyle w:val="Heading3"/>
        <w:numPr>
          <w:ilvl w:val="0"/>
          <w:numId w:val="8"/>
        </w:numPr>
        <w:spacing w:before="93"/>
        <w:ind w:right="1294"/>
        <w:rPr>
          <w:sz w:val="22"/>
          <w:szCs w:val="22"/>
        </w:rPr>
      </w:pPr>
      <w:r w:rsidRPr="00714048">
        <w:rPr>
          <w:sz w:val="22"/>
          <w:szCs w:val="22"/>
        </w:rPr>
        <w:t>How many times have you/your service implemented the duty of candour procedure this financial year?</w:t>
      </w:r>
    </w:p>
    <w:p w:rsidR="00EA52D9" w:rsidRPr="00714048" w:rsidRDefault="00EA52D9">
      <w:pPr>
        <w:pStyle w:val="BodyText"/>
        <w:rPr>
          <w:b/>
          <w:sz w:val="22"/>
          <w:szCs w:val="22"/>
        </w:rPr>
      </w:pPr>
    </w:p>
    <w:p w:rsidR="00EA52D9" w:rsidRPr="00714048" w:rsidRDefault="00BC7622">
      <w:pPr>
        <w:pStyle w:val="BodyText"/>
        <w:ind w:left="559" w:right="758"/>
        <w:rPr>
          <w:sz w:val="22"/>
          <w:szCs w:val="22"/>
        </w:rPr>
      </w:pPr>
      <w:r w:rsidRPr="00714048">
        <w:rPr>
          <w:sz w:val="22"/>
          <w:szCs w:val="22"/>
        </w:rPr>
        <w:t>Between 1 April 202</w:t>
      </w:r>
      <w:r w:rsidR="00777DCC">
        <w:rPr>
          <w:sz w:val="22"/>
          <w:szCs w:val="22"/>
        </w:rPr>
        <w:t>5</w:t>
      </w:r>
      <w:r w:rsidRPr="00714048">
        <w:rPr>
          <w:sz w:val="22"/>
          <w:szCs w:val="22"/>
        </w:rPr>
        <w:t xml:space="preserve"> and 31 March 202</w:t>
      </w:r>
      <w:r w:rsidR="00777DCC">
        <w:rPr>
          <w:sz w:val="22"/>
          <w:szCs w:val="22"/>
        </w:rPr>
        <w:t>6</w:t>
      </w:r>
      <w:r w:rsidRPr="00714048">
        <w:rPr>
          <w:sz w:val="22"/>
          <w:szCs w:val="22"/>
        </w:rPr>
        <w:t xml:space="preserve"> there were no incidents where the duty of candour applied. These are unintended or unexpected incidents that result in death or harm as defined in the Act, and do not relate to the natural course of someone’s illness or underlying condition.</w:t>
      </w:r>
    </w:p>
    <w:p w:rsidR="00EA52D9" w:rsidRPr="00714048" w:rsidRDefault="00EA52D9">
      <w:pPr>
        <w:pStyle w:val="BodyText"/>
        <w:rPr>
          <w:sz w:val="22"/>
          <w:szCs w:val="22"/>
        </w:rPr>
      </w:pPr>
    </w:p>
    <w:p w:rsidR="00EA52D9" w:rsidRPr="00714048" w:rsidRDefault="00EA52D9">
      <w:pPr>
        <w:pStyle w:val="BodyText"/>
        <w:spacing w:before="11"/>
        <w:rPr>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4490"/>
      </w:tblGrid>
      <w:tr w:rsidR="00EA52D9" w:rsidRPr="00714048" w:rsidTr="00777DCC">
        <w:trPr>
          <w:trHeight w:val="1655"/>
        </w:trPr>
        <w:tc>
          <w:tcPr>
            <w:tcW w:w="4526" w:type="dxa"/>
            <w:shd w:val="clear" w:color="auto" w:fill="C0C0C0"/>
          </w:tcPr>
          <w:p w:rsidR="00EA52D9" w:rsidRPr="00714048" w:rsidRDefault="00EA52D9">
            <w:pPr>
              <w:pStyle w:val="TableParagraph"/>
            </w:pPr>
          </w:p>
          <w:p w:rsidR="00EA52D9" w:rsidRPr="00714048" w:rsidRDefault="00BC7622">
            <w:pPr>
              <w:pStyle w:val="TableParagraph"/>
              <w:ind w:left="107" w:right="295"/>
              <w:rPr>
                <w:b/>
              </w:rPr>
            </w:pPr>
            <w:r w:rsidRPr="00714048">
              <w:rPr>
                <w:b/>
              </w:rPr>
              <w:t>Type of unexpected or unintended incidents (not relating to the natural course of someone’s illness or underlying conditions)</w:t>
            </w:r>
          </w:p>
        </w:tc>
        <w:tc>
          <w:tcPr>
            <w:tcW w:w="4490" w:type="dxa"/>
            <w:shd w:val="clear" w:color="auto" w:fill="C0C0C0"/>
            <w:vAlign w:val="center"/>
          </w:tcPr>
          <w:p w:rsidR="00EA52D9" w:rsidRPr="00777DCC" w:rsidRDefault="00777DCC" w:rsidP="00777DCC">
            <w:pPr>
              <w:pStyle w:val="TableParagraph"/>
              <w:jc w:val="center"/>
              <w:rPr>
                <w:b/>
              </w:rPr>
            </w:pPr>
            <w:r w:rsidRPr="00777DCC">
              <w:rPr>
                <w:b/>
              </w:rPr>
              <w:t>Number of Instances</w:t>
            </w:r>
          </w:p>
        </w:tc>
      </w:tr>
      <w:tr w:rsidR="00EA52D9" w:rsidRPr="00714048">
        <w:trPr>
          <w:trHeight w:val="275"/>
        </w:trPr>
        <w:tc>
          <w:tcPr>
            <w:tcW w:w="4526" w:type="dxa"/>
            <w:shd w:val="clear" w:color="auto" w:fill="C0C0C0"/>
          </w:tcPr>
          <w:p w:rsidR="00EA52D9" w:rsidRPr="00714048" w:rsidRDefault="00BC7622">
            <w:pPr>
              <w:pStyle w:val="TableParagraph"/>
              <w:spacing w:line="255" w:lineRule="exact"/>
              <w:ind w:left="107"/>
            </w:pPr>
            <w:r w:rsidRPr="00714048">
              <w:t>A person died</w:t>
            </w:r>
          </w:p>
        </w:tc>
        <w:tc>
          <w:tcPr>
            <w:tcW w:w="4490" w:type="dxa"/>
          </w:tcPr>
          <w:p w:rsidR="00EA52D9" w:rsidRPr="00714048" w:rsidRDefault="00BC7622">
            <w:pPr>
              <w:pStyle w:val="TableParagraph"/>
              <w:spacing w:line="255" w:lineRule="exact"/>
              <w:ind w:right="2167"/>
              <w:jc w:val="right"/>
            </w:pPr>
            <w:r w:rsidRPr="00714048">
              <w:rPr>
                <w:w w:val="99"/>
              </w:rPr>
              <w:t>0</w:t>
            </w:r>
          </w:p>
        </w:tc>
      </w:tr>
      <w:tr w:rsidR="00EA52D9" w:rsidRPr="00714048">
        <w:trPr>
          <w:trHeight w:val="830"/>
        </w:trPr>
        <w:tc>
          <w:tcPr>
            <w:tcW w:w="4526" w:type="dxa"/>
            <w:shd w:val="clear" w:color="auto" w:fill="C0C0C0"/>
          </w:tcPr>
          <w:p w:rsidR="00EA52D9" w:rsidRPr="00714048" w:rsidRDefault="00BC7622">
            <w:pPr>
              <w:pStyle w:val="TableParagraph"/>
              <w:spacing w:before="2" w:line="270" w:lineRule="atLeast"/>
              <w:ind w:left="107" w:right="213"/>
              <w:jc w:val="both"/>
            </w:pPr>
            <w:r w:rsidRPr="00714048">
              <w:t>A person incurred permanent lessening of bodily, sensory, moto, physiologic or intellectual functions</w:t>
            </w:r>
          </w:p>
        </w:tc>
        <w:tc>
          <w:tcPr>
            <w:tcW w:w="4490" w:type="dxa"/>
          </w:tcPr>
          <w:p w:rsidR="00EA52D9" w:rsidRPr="00714048" w:rsidRDefault="00BC7622">
            <w:pPr>
              <w:pStyle w:val="TableParagraph"/>
              <w:spacing w:before="2"/>
              <w:ind w:right="2167"/>
              <w:jc w:val="right"/>
            </w:pPr>
            <w:r w:rsidRPr="00714048">
              <w:rPr>
                <w:w w:val="99"/>
              </w:rPr>
              <w:t>0</w:t>
            </w:r>
          </w:p>
        </w:tc>
      </w:tr>
      <w:tr w:rsidR="00EA52D9" w:rsidRPr="00714048">
        <w:trPr>
          <w:trHeight w:val="275"/>
        </w:trPr>
        <w:tc>
          <w:tcPr>
            <w:tcW w:w="4526" w:type="dxa"/>
            <w:shd w:val="clear" w:color="auto" w:fill="C0C0C0"/>
          </w:tcPr>
          <w:p w:rsidR="00EA52D9" w:rsidRPr="00714048" w:rsidRDefault="00BC7622">
            <w:pPr>
              <w:pStyle w:val="TableParagraph"/>
              <w:spacing w:line="255" w:lineRule="exact"/>
              <w:ind w:left="107"/>
            </w:pPr>
            <w:r w:rsidRPr="00714048">
              <w:t>A person’s treatment increased</w:t>
            </w:r>
            <w:r w:rsidR="00777DCC">
              <w:t xml:space="preserve"> because of harm</w:t>
            </w:r>
          </w:p>
        </w:tc>
        <w:tc>
          <w:tcPr>
            <w:tcW w:w="4490" w:type="dxa"/>
          </w:tcPr>
          <w:p w:rsidR="00EA52D9" w:rsidRPr="00714048" w:rsidRDefault="00BC7622">
            <w:pPr>
              <w:pStyle w:val="TableParagraph"/>
              <w:spacing w:line="255" w:lineRule="exact"/>
              <w:ind w:right="2167"/>
              <w:jc w:val="right"/>
            </w:pPr>
            <w:r w:rsidRPr="00714048">
              <w:rPr>
                <w:w w:val="99"/>
              </w:rPr>
              <w:t>0</w:t>
            </w:r>
          </w:p>
        </w:tc>
      </w:tr>
      <w:tr w:rsidR="00EA52D9" w:rsidRPr="00714048">
        <w:trPr>
          <w:trHeight w:val="551"/>
        </w:trPr>
        <w:tc>
          <w:tcPr>
            <w:tcW w:w="4526" w:type="dxa"/>
            <w:shd w:val="clear" w:color="auto" w:fill="C0C0C0"/>
          </w:tcPr>
          <w:p w:rsidR="00EA52D9" w:rsidRPr="00714048" w:rsidRDefault="00BC7622">
            <w:pPr>
              <w:pStyle w:val="TableParagraph"/>
              <w:spacing w:line="270" w:lineRule="atLeast"/>
              <w:ind w:left="107" w:right="947"/>
            </w:pPr>
            <w:r w:rsidRPr="00714048">
              <w:t>The structure of a person’s body changed</w:t>
            </w:r>
            <w:r w:rsidR="00777DCC">
              <w:t xml:space="preserve"> because of harm </w:t>
            </w:r>
          </w:p>
        </w:tc>
        <w:tc>
          <w:tcPr>
            <w:tcW w:w="4490" w:type="dxa"/>
          </w:tcPr>
          <w:p w:rsidR="00EA52D9" w:rsidRPr="00714048" w:rsidRDefault="00BC7622">
            <w:pPr>
              <w:pStyle w:val="TableParagraph"/>
              <w:ind w:right="2167"/>
              <w:jc w:val="right"/>
            </w:pPr>
            <w:r w:rsidRPr="00714048">
              <w:rPr>
                <w:w w:val="99"/>
              </w:rPr>
              <w:t>0</w:t>
            </w:r>
          </w:p>
        </w:tc>
      </w:tr>
      <w:tr w:rsidR="00EA52D9" w:rsidRPr="00714048">
        <w:trPr>
          <w:trHeight w:val="275"/>
        </w:trPr>
        <w:tc>
          <w:tcPr>
            <w:tcW w:w="4526" w:type="dxa"/>
            <w:shd w:val="clear" w:color="auto" w:fill="C0C0C0"/>
          </w:tcPr>
          <w:p w:rsidR="00EA52D9" w:rsidRPr="00714048" w:rsidRDefault="00BC7622">
            <w:pPr>
              <w:pStyle w:val="TableParagraph"/>
              <w:spacing w:line="255" w:lineRule="exact"/>
              <w:ind w:left="107"/>
            </w:pPr>
            <w:r w:rsidRPr="00714048">
              <w:t>A person’s life expectancy shortened</w:t>
            </w:r>
            <w:r w:rsidR="00777DCC">
              <w:t xml:space="preserve"> because of harm </w:t>
            </w:r>
          </w:p>
        </w:tc>
        <w:tc>
          <w:tcPr>
            <w:tcW w:w="4490" w:type="dxa"/>
          </w:tcPr>
          <w:p w:rsidR="00EA52D9" w:rsidRPr="00714048" w:rsidRDefault="00BC7622">
            <w:pPr>
              <w:pStyle w:val="TableParagraph"/>
              <w:spacing w:line="255" w:lineRule="exact"/>
              <w:ind w:right="2167"/>
              <w:jc w:val="right"/>
            </w:pPr>
            <w:r w:rsidRPr="00714048">
              <w:rPr>
                <w:w w:val="99"/>
              </w:rPr>
              <w:t>0</w:t>
            </w:r>
          </w:p>
        </w:tc>
      </w:tr>
      <w:tr w:rsidR="00EA52D9" w:rsidRPr="00714048">
        <w:trPr>
          <w:trHeight w:val="827"/>
        </w:trPr>
        <w:tc>
          <w:tcPr>
            <w:tcW w:w="4526" w:type="dxa"/>
            <w:shd w:val="clear" w:color="auto" w:fill="C0C0C0"/>
          </w:tcPr>
          <w:p w:rsidR="00EA52D9" w:rsidRPr="00714048" w:rsidRDefault="00BC7622">
            <w:pPr>
              <w:pStyle w:val="TableParagraph"/>
              <w:spacing w:line="270" w:lineRule="atLeast"/>
              <w:ind w:left="107" w:right="120"/>
            </w:pPr>
            <w:r w:rsidRPr="00714048">
              <w:t>A person’s sensory, motor or intellectual functions were impaired for 28 days or more</w:t>
            </w:r>
          </w:p>
        </w:tc>
        <w:tc>
          <w:tcPr>
            <w:tcW w:w="4490" w:type="dxa"/>
          </w:tcPr>
          <w:p w:rsidR="00EA52D9" w:rsidRPr="00714048" w:rsidRDefault="00BC7622">
            <w:pPr>
              <w:pStyle w:val="TableParagraph"/>
              <w:ind w:right="2167"/>
              <w:jc w:val="right"/>
            </w:pPr>
            <w:r w:rsidRPr="00714048">
              <w:rPr>
                <w:w w:val="99"/>
              </w:rPr>
              <w:t>0</w:t>
            </w:r>
          </w:p>
        </w:tc>
      </w:tr>
      <w:tr w:rsidR="00EA52D9" w:rsidRPr="00714048">
        <w:trPr>
          <w:trHeight w:val="551"/>
        </w:trPr>
        <w:tc>
          <w:tcPr>
            <w:tcW w:w="4526" w:type="dxa"/>
            <w:shd w:val="clear" w:color="auto" w:fill="C0C0C0"/>
          </w:tcPr>
          <w:p w:rsidR="00EA52D9" w:rsidRPr="00714048" w:rsidRDefault="00BC7622">
            <w:pPr>
              <w:pStyle w:val="TableParagraph"/>
              <w:spacing w:line="270" w:lineRule="atLeast"/>
              <w:ind w:left="107" w:right="253"/>
            </w:pPr>
            <w:r w:rsidRPr="00714048">
              <w:t>A person experienced pain or psychological harm or 28 days or more</w:t>
            </w:r>
          </w:p>
        </w:tc>
        <w:tc>
          <w:tcPr>
            <w:tcW w:w="4490" w:type="dxa"/>
          </w:tcPr>
          <w:p w:rsidR="00EA52D9" w:rsidRPr="00714048" w:rsidRDefault="00BC7622">
            <w:pPr>
              <w:pStyle w:val="TableParagraph"/>
              <w:ind w:right="2167"/>
              <w:jc w:val="right"/>
            </w:pPr>
            <w:r w:rsidRPr="00714048">
              <w:rPr>
                <w:w w:val="99"/>
              </w:rPr>
              <w:t>0</w:t>
            </w:r>
          </w:p>
        </w:tc>
      </w:tr>
      <w:tr w:rsidR="00EA52D9" w:rsidRPr="00714048">
        <w:trPr>
          <w:trHeight w:val="551"/>
        </w:trPr>
        <w:tc>
          <w:tcPr>
            <w:tcW w:w="4526" w:type="dxa"/>
            <w:shd w:val="clear" w:color="auto" w:fill="C0C0C0"/>
          </w:tcPr>
          <w:p w:rsidR="00EA52D9" w:rsidRPr="00714048" w:rsidRDefault="00BC7622">
            <w:pPr>
              <w:pStyle w:val="TableParagraph"/>
              <w:spacing w:before="4" w:line="276" w:lineRule="exact"/>
              <w:ind w:left="107" w:right="506"/>
            </w:pPr>
            <w:r w:rsidRPr="00714048">
              <w:t>A person needed health treatment in order to prevent them dying</w:t>
            </w:r>
          </w:p>
        </w:tc>
        <w:tc>
          <w:tcPr>
            <w:tcW w:w="4490" w:type="dxa"/>
          </w:tcPr>
          <w:p w:rsidR="00EA52D9" w:rsidRPr="00714048" w:rsidRDefault="00BC7622">
            <w:pPr>
              <w:pStyle w:val="TableParagraph"/>
              <w:spacing w:line="276" w:lineRule="exact"/>
              <w:ind w:right="2167"/>
              <w:jc w:val="right"/>
            </w:pPr>
            <w:r w:rsidRPr="00714048">
              <w:rPr>
                <w:w w:val="99"/>
              </w:rPr>
              <w:t>0</w:t>
            </w:r>
          </w:p>
        </w:tc>
      </w:tr>
      <w:tr w:rsidR="00EA52D9" w:rsidRPr="00714048">
        <w:trPr>
          <w:trHeight w:val="824"/>
        </w:trPr>
        <w:tc>
          <w:tcPr>
            <w:tcW w:w="4526" w:type="dxa"/>
            <w:shd w:val="clear" w:color="auto" w:fill="C0C0C0"/>
          </w:tcPr>
          <w:p w:rsidR="00EA52D9" w:rsidRPr="00714048" w:rsidRDefault="00BC7622">
            <w:pPr>
              <w:pStyle w:val="TableParagraph"/>
              <w:spacing w:before="2" w:line="276" w:lineRule="exact"/>
              <w:ind w:left="107" w:right="306"/>
            </w:pPr>
            <w:r w:rsidRPr="00714048">
              <w:t>A person needing health treatment in order to prevent other injuries</w:t>
            </w:r>
          </w:p>
        </w:tc>
        <w:tc>
          <w:tcPr>
            <w:tcW w:w="4490" w:type="dxa"/>
          </w:tcPr>
          <w:p w:rsidR="00EA52D9" w:rsidRPr="00714048" w:rsidRDefault="00BC7622">
            <w:pPr>
              <w:pStyle w:val="TableParagraph"/>
              <w:spacing w:line="274" w:lineRule="exact"/>
              <w:ind w:right="2167"/>
              <w:jc w:val="right"/>
            </w:pPr>
            <w:r w:rsidRPr="00714048">
              <w:rPr>
                <w:w w:val="99"/>
              </w:rPr>
              <w:t>0</w:t>
            </w:r>
          </w:p>
        </w:tc>
      </w:tr>
      <w:tr w:rsidR="00EA52D9" w:rsidRPr="00714048">
        <w:trPr>
          <w:trHeight w:val="270"/>
        </w:trPr>
        <w:tc>
          <w:tcPr>
            <w:tcW w:w="4526" w:type="dxa"/>
            <w:shd w:val="clear" w:color="auto" w:fill="C0C0C0"/>
          </w:tcPr>
          <w:p w:rsidR="00EA52D9" w:rsidRPr="00714048" w:rsidRDefault="00BC7622">
            <w:pPr>
              <w:pStyle w:val="TableParagraph"/>
              <w:spacing w:line="251" w:lineRule="exact"/>
              <w:ind w:left="107"/>
            </w:pPr>
            <w:r w:rsidRPr="00714048">
              <w:t>Total</w:t>
            </w:r>
          </w:p>
        </w:tc>
        <w:tc>
          <w:tcPr>
            <w:tcW w:w="4490" w:type="dxa"/>
          </w:tcPr>
          <w:p w:rsidR="00EA52D9" w:rsidRPr="00714048" w:rsidRDefault="00BC7622">
            <w:pPr>
              <w:pStyle w:val="TableParagraph"/>
              <w:spacing w:line="251" w:lineRule="exact"/>
              <w:ind w:right="2098"/>
              <w:jc w:val="right"/>
            </w:pPr>
            <w:r w:rsidRPr="00714048">
              <w:rPr>
                <w:w w:val="95"/>
              </w:rPr>
              <w:t>Nil</w:t>
            </w:r>
          </w:p>
        </w:tc>
      </w:tr>
    </w:tbl>
    <w:p w:rsidR="00EA52D9" w:rsidRPr="00714048" w:rsidRDefault="00EA52D9">
      <w:pPr>
        <w:pStyle w:val="BodyText"/>
        <w:rPr>
          <w:sz w:val="22"/>
          <w:szCs w:val="22"/>
        </w:rPr>
      </w:pPr>
    </w:p>
    <w:p w:rsidR="00EA52D9" w:rsidRPr="00714048" w:rsidRDefault="00EA52D9">
      <w:pPr>
        <w:pStyle w:val="BodyText"/>
        <w:rPr>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521"/>
      </w:tblGrid>
      <w:tr w:rsidR="00EA52D9" w:rsidRPr="00714048">
        <w:trPr>
          <w:trHeight w:val="1655"/>
        </w:trPr>
        <w:tc>
          <w:tcPr>
            <w:tcW w:w="4495" w:type="dxa"/>
            <w:shd w:val="clear" w:color="auto" w:fill="C0C0C0"/>
          </w:tcPr>
          <w:p w:rsidR="00EA52D9" w:rsidRPr="00714048" w:rsidRDefault="00BC7622">
            <w:pPr>
              <w:pStyle w:val="TableParagraph"/>
              <w:ind w:left="107" w:right="88"/>
            </w:pPr>
            <w:r w:rsidRPr="00714048">
              <w:t>Did the responsible person for triggering duty of candour appropriately follow the procedure?</w:t>
            </w:r>
          </w:p>
          <w:p w:rsidR="00EA52D9" w:rsidRPr="00714048" w:rsidRDefault="00EA52D9">
            <w:pPr>
              <w:pStyle w:val="TableParagraph"/>
            </w:pPr>
          </w:p>
          <w:p w:rsidR="00EA52D9" w:rsidRPr="00714048" w:rsidRDefault="00BC7622">
            <w:pPr>
              <w:pStyle w:val="TableParagraph"/>
              <w:spacing w:line="270" w:lineRule="atLeast"/>
              <w:ind w:left="107" w:right="609"/>
            </w:pPr>
            <w:r w:rsidRPr="00714048">
              <w:t>If not, did this result in any under or over reporting of duty of candour?</w:t>
            </w:r>
          </w:p>
        </w:tc>
        <w:tc>
          <w:tcPr>
            <w:tcW w:w="4521" w:type="dxa"/>
          </w:tcPr>
          <w:p w:rsidR="00EA52D9" w:rsidRPr="00714048" w:rsidRDefault="00BC7622">
            <w:pPr>
              <w:pStyle w:val="TableParagraph"/>
              <w:ind w:left="1152" w:right="1144"/>
              <w:jc w:val="center"/>
            </w:pPr>
            <w:r w:rsidRPr="00714048">
              <w:t>Not Applicable (N/A)</w:t>
            </w:r>
          </w:p>
        </w:tc>
      </w:tr>
      <w:tr w:rsidR="00EA52D9" w:rsidRPr="00714048">
        <w:trPr>
          <w:trHeight w:val="275"/>
        </w:trPr>
        <w:tc>
          <w:tcPr>
            <w:tcW w:w="4495" w:type="dxa"/>
            <w:shd w:val="clear" w:color="auto" w:fill="C0C0C0"/>
          </w:tcPr>
          <w:p w:rsidR="00EA52D9" w:rsidRPr="00714048" w:rsidRDefault="00BC7622">
            <w:pPr>
              <w:pStyle w:val="TableParagraph"/>
              <w:spacing w:line="255" w:lineRule="exact"/>
              <w:ind w:left="107"/>
            </w:pPr>
            <w:r w:rsidRPr="00714048">
              <w:t>What lessons did you learn?</w:t>
            </w:r>
          </w:p>
        </w:tc>
        <w:tc>
          <w:tcPr>
            <w:tcW w:w="4521" w:type="dxa"/>
          </w:tcPr>
          <w:p w:rsidR="00EA52D9" w:rsidRPr="00714048" w:rsidRDefault="00BC7622">
            <w:pPr>
              <w:pStyle w:val="TableParagraph"/>
              <w:spacing w:line="255" w:lineRule="exact"/>
              <w:ind w:left="1151" w:right="1144"/>
              <w:jc w:val="center"/>
            </w:pPr>
            <w:r w:rsidRPr="00714048">
              <w:t>N/A</w:t>
            </w:r>
          </w:p>
        </w:tc>
      </w:tr>
      <w:tr w:rsidR="00EA52D9" w:rsidRPr="00714048">
        <w:trPr>
          <w:trHeight w:val="551"/>
        </w:trPr>
        <w:tc>
          <w:tcPr>
            <w:tcW w:w="4495" w:type="dxa"/>
            <w:shd w:val="clear" w:color="auto" w:fill="C0C0C0"/>
          </w:tcPr>
          <w:p w:rsidR="00EA52D9" w:rsidRPr="00714048" w:rsidRDefault="00BC7622">
            <w:pPr>
              <w:pStyle w:val="TableParagraph"/>
              <w:spacing w:line="270" w:lineRule="atLeast"/>
              <w:ind w:left="107" w:right="489"/>
            </w:pPr>
            <w:r w:rsidRPr="00714048">
              <w:t>What learning &amp; improvements have been put in place as a result?</w:t>
            </w:r>
          </w:p>
        </w:tc>
        <w:tc>
          <w:tcPr>
            <w:tcW w:w="4521" w:type="dxa"/>
          </w:tcPr>
          <w:p w:rsidR="00EA52D9" w:rsidRPr="00714048" w:rsidRDefault="00BC7622">
            <w:pPr>
              <w:pStyle w:val="TableParagraph"/>
              <w:ind w:left="1151" w:right="1144"/>
              <w:jc w:val="center"/>
            </w:pPr>
            <w:r w:rsidRPr="00714048">
              <w:t>N/A</w:t>
            </w:r>
          </w:p>
        </w:tc>
      </w:tr>
    </w:tbl>
    <w:p w:rsidR="00EA52D9" w:rsidRPr="00714048" w:rsidRDefault="00EA52D9">
      <w:pPr>
        <w:jc w:val="center"/>
        <w:sectPr w:rsidR="00EA52D9" w:rsidRPr="00714048">
          <w:pgSz w:w="11910" w:h="16840"/>
          <w:pgMar w:top="1200" w:right="820" w:bottom="2060" w:left="880" w:header="349" w:footer="1875" w:gutter="0"/>
          <w:cols w:space="720"/>
        </w:sectPr>
      </w:pPr>
    </w:p>
    <w:p w:rsidR="00EA52D9" w:rsidRPr="00714048" w:rsidRDefault="00EA52D9">
      <w:pPr>
        <w:pStyle w:val="BodyText"/>
        <w:spacing w:before="3"/>
        <w:rPr>
          <w:rFonts w:ascii="Times New Roman"/>
          <w:sz w:val="22"/>
          <w:szCs w:val="22"/>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521"/>
      </w:tblGrid>
      <w:tr w:rsidR="00EA52D9" w:rsidRPr="00714048">
        <w:trPr>
          <w:trHeight w:val="827"/>
        </w:trPr>
        <w:tc>
          <w:tcPr>
            <w:tcW w:w="4495" w:type="dxa"/>
            <w:shd w:val="clear" w:color="auto" w:fill="C0C0C0"/>
          </w:tcPr>
          <w:p w:rsidR="00EA52D9" w:rsidRPr="00714048" w:rsidRDefault="00BC7622">
            <w:pPr>
              <w:pStyle w:val="TableParagraph"/>
              <w:spacing w:line="270" w:lineRule="atLeast"/>
              <w:ind w:left="107" w:right="528"/>
            </w:pPr>
            <w:r w:rsidRPr="00714048">
              <w:t>Did this result in a change/update to your duty of candour policy &amp; procedure?</w:t>
            </w:r>
          </w:p>
        </w:tc>
        <w:tc>
          <w:tcPr>
            <w:tcW w:w="4521" w:type="dxa"/>
          </w:tcPr>
          <w:p w:rsidR="00EA52D9" w:rsidRPr="00714048" w:rsidRDefault="00BC7622">
            <w:pPr>
              <w:pStyle w:val="TableParagraph"/>
              <w:ind w:left="1151" w:right="1144"/>
              <w:jc w:val="center"/>
            </w:pPr>
            <w:r w:rsidRPr="00714048">
              <w:t>N/A</w:t>
            </w:r>
          </w:p>
        </w:tc>
      </w:tr>
      <w:tr w:rsidR="00EA52D9" w:rsidRPr="00714048">
        <w:trPr>
          <w:trHeight w:val="554"/>
        </w:trPr>
        <w:tc>
          <w:tcPr>
            <w:tcW w:w="4495" w:type="dxa"/>
            <w:shd w:val="clear" w:color="auto" w:fill="C0C0C0"/>
          </w:tcPr>
          <w:p w:rsidR="00EA52D9" w:rsidRPr="00714048" w:rsidRDefault="00BC7622">
            <w:pPr>
              <w:pStyle w:val="TableParagraph"/>
              <w:spacing w:before="2" w:line="270" w:lineRule="atLeast"/>
              <w:ind w:left="107" w:right="155"/>
            </w:pPr>
            <w:r w:rsidRPr="00714048">
              <w:t>How did you share lessons learned and who with?</w:t>
            </w:r>
          </w:p>
        </w:tc>
        <w:tc>
          <w:tcPr>
            <w:tcW w:w="4521" w:type="dxa"/>
          </w:tcPr>
          <w:p w:rsidR="00EA52D9" w:rsidRPr="00714048" w:rsidRDefault="00BC7622">
            <w:pPr>
              <w:pStyle w:val="TableParagraph"/>
              <w:spacing w:before="2"/>
              <w:ind w:left="1151" w:right="1144"/>
              <w:jc w:val="center"/>
            </w:pPr>
            <w:r w:rsidRPr="00714048">
              <w:t>N/A</w:t>
            </w:r>
          </w:p>
        </w:tc>
      </w:tr>
      <w:tr w:rsidR="00EA52D9" w:rsidRPr="00714048">
        <w:trPr>
          <w:trHeight w:val="551"/>
        </w:trPr>
        <w:tc>
          <w:tcPr>
            <w:tcW w:w="4495" w:type="dxa"/>
            <w:shd w:val="clear" w:color="auto" w:fill="C0C0C0"/>
          </w:tcPr>
          <w:p w:rsidR="00EA52D9" w:rsidRPr="00714048" w:rsidRDefault="00BC7622">
            <w:pPr>
              <w:pStyle w:val="TableParagraph"/>
              <w:spacing w:line="270" w:lineRule="atLeast"/>
              <w:ind w:left="107" w:right="609"/>
            </w:pPr>
            <w:r w:rsidRPr="00714048">
              <w:t>Could any further improvements be made?</w:t>
            </w:r>
          </w:p>
        </w:tc>
        <w:tc>
          <w:tcPr>
            <w:tcW w:w="4521" w:type="dxa"/>
          </w:tcPr>
          <w:p w:rsidR="00EA52D9" w:rsidRPr="00714048" w:rsidRDefault="00BC7622">
            <w:pPr>
              <w:pStyle w:val="TableParagraph"/>
              <w:ind w:left="1151" w:right="1144"/>
              <w:jc w:val="center"/>
            </w:pPr>
            <w:r w:rsidRPr="00714048">
              <w:t>N/A</w:t>
            </w:r>
          </w:p>
        </w:tc>
      </w:tr>
      <w:tr w:rsidR="00EA52D9" w:rsidRPr="00714048">
        <w:trPr>
          <w:trHeight w:val="2751"/>
        </w:trPr>
        <w:tc>
          <w:tcPr>
            <w:tcW w:w="4495" w:type="dxa"/>
            <w:shd w:val="clear" w:color="auto" w:fill="C0C0C0"/>
          </w:tcPr>
          <w:p w:rsidR="00EA52D9" w:rsidRPr="00714048" w:rsidRDefault="00BC7622">
            <w:pPr>
              <w:pStyle w:val="TableParagraph"/>
              <w:ind w:left="107" w:right="208"/>
            </w:pPr>
            <w:r w:rsidRPr="00714048">
              <w:t xml:space="preserve">What systems do you have in place to support staff to provide an apology in a </w:t>
            </w:r>
            <w:r w:rsidR="007836BF" w:rsidRPr="00714048">
              <w:t>person-centered</w:t>
            </w:r>
            <w:r w:rsidRPr="00714048">
              <w:t xml:space="preserve"> way and how do you support staff to enable them to do this?</w:t>
            </w:r>
          </w:p>
        </w:tc>
        <w:tc>
          <w:tcPr>
            <w:tcW w:w="4521" w:type="dxa"/>
          </w:tcPr>
          <w:p w:rsidR="00EA52D9" w:rsidRPr="00714048" w:rsidRDefault="00BC7622">
            <w:pPr>
              <w:pStyle w:val="TableParagraph"/>
              <w:ind w:left="107" w:right="93"/>
              <w:jc w:val="both"/>
            </w:pPr>
            <w:r w:rsidRPr="00714048">
              <w:t>The council procedure/guidance provides</w:t>
            </w:r>
            <w:r w:rsidRPr="00714048">
              <w:rPr>
                <w:spacing w:val="-17"/>
              </w:rPr>
              <w:t xml:space="preserve"> </w:t>
            </w:r>
            <w:r w:rsidRPr="00714048">
              <w:t>in</w:t>
            </w:r>
            <w:r w:rsidRPr="00714048">
              <w:rPr>
                <w:spacing w:val="-15"/>
              </w:rPr>
              <w:t xml:space="preserve"> </w:t>
            </w:r>
            <w:r w:rsidRPr="00714048">
              <w:t>depth</w:t>
            </w:r>
            <w:r w:rsidRPr="00714048">
              <w:rPr>
                <w:spacing w:val="-15"/>
              </w:rPr>
              <w:t xml:space="preserve"> </w:t>
            </w:r>
            <w:r w:rsidRPr="00714048">
              <w:t>advice</w:t>
            </w:r>
            <w:r w:rsidRPr="00714048">
              <w:rPr>
                <w:spacing w:val="-18"/>
              </w:rPr>
              <w:t xml:space="preserve"> </w:t>
            </w:r>
            <w:r w:rsidRPr="00714048">
              <w:t>for</w:t>
            </w:r>
            <w:r w:rsidRPr="00714048">
              <w:rPr>
                <w:spacing w:val="-18"/>
              </w:rPr>
              <w:t xml:space="preserve"> </w:t>
            </w:r>
            <w:r w:rsidRPr="00714048">
              <w:t>staff</w:t>
            </w:r>
            <w:r w:rsidRPr="00714048">
              <w:rPr>
                <w:spacing w:val="-16"/>
              </w:rPr>
              <w:t xml:space="preserve"> </w:t>
            </w:r>
            <w:r w:rsidRPr="00714048">
              <w:t>to</w:t>
            </w:r>
            <w:r w:rsidRPr="00714048">
              <w:rPr>
                <w:spacing w:val="-18"/>
              </w:rPr>
              <w:t xml:space="preserve"> </w:t>
            </w:r>
            <w:r w:rsidRPr="00714048">
              <w:t>follow when making an</w:t>
            </w:r>
            <w:r w:rsidRPr="00714048">
              <w:rPr>
                <w:spacing w:val="-1"/>
              </w:rPr>
              <w:t xml:space="preserve"> </w:t>
            </w:r>
            <w:r w:rsidRPr="00714048">
              <w:t>apology.</w:t>
            </w:r>
          </w:p>
          <w:p w:rsidR="00EA52D9" w:rsidRPr="00714048" w:rsidRDefault="00EA52D9">
            <w:pPr>
              <w:pStyle w:val="TableParagraph"/>
              <w:spacing w:before="11"/>
              <w:rPr>
                <w:rFonts w:ascii="Times New Roman"/>
              </w:rPr>
            </w:pPr>
          </w:p>
          <w:p w:rsidR="00EA52D9" w:rsidRPr="00714048" w:rsidRDefault="00BC7622">
            <w:pPr>
              <w:pStyle w:val="TableParagraph"/>
              <w:ind w:left="107" w:right="97"/>
              <w:jc w:val="both"/>
            </w:pPr>
            <w:r w:rsidRPr="00714048">
              <w:t>Training materials signpost to a range of support materials.</w:t>
            </w:r>
          </w:p>
          <w:p w:rsidR="00EA52D9" w:rsidRPr="00714048" w:rsidRDefault="00EA52D9">
            <w:pPr>
              <w:pStyle w:val="TableParagraph"/>
              <w:rPr>
                <w:rFonts w:ascii="Times New Roman"/>
              </w:rPr>
            </w:pPr>
          </w:p>
          <w:p w:rsidR="00EA52D9" w:rsidRPr="00714048" w:rsidRDefault="00BC7622">
            <w:pPr>
              <w:pStyle w:val="TableParagraph"/>
              <w:ind w:left="107" w:right="96"/>
              <w:jc w:val="both"/>
            </w:pPr>
            <w:r w:rsidRPr="00714048">
              <w:t>In addition, support would be available via operational line managers.</w:t>
            </w:r>
          </w:p>
        </w:tc>
      </w:tr>
      <w:tr w:rsidR="00EA52D9" w:rsidRPr="00714048">
        <w:trPr>
          <w:trHeight w:val="1770"/>
        </w:trPr>
        <w:tc>
          <w:tcPr>
            <w:tcW w:w="4495" w:type="dxa"/>
            <w:shd w:val="clear" w:color="auto" w:fill="C0C0C0"/>
          </w:tcPr>
          <w:p w:rsidR="00EA52D9" w:rsidRPr="00714048" w:rsidRDefault="00BC7622">
            <w:pPr>
              <w:pStyle w:val="TableParagraph"/>
              <w:ind w:left="107" w:right="309"/>
            </w:pPr>
            <w:r w:rsidRPr="00714048">
              <w:t>What support do you have available for people involved in invoking the procedure and those who might be affected?</w:t>
            </w:r>
          </w:p>
        </w:tc>
        <w:tc>
          <w:tcPr>
            <w:tcW w:w="4521" w:type="dxa"/>
          </w:tcPr>
          <w:p w:rsidR="00EA52D9" w:rsidRPr="00714048" w:rsidRDefault="00BC7622" w:rsidP="00CE7887">
            <w:pPr>
              <w:pStyle w:val="TableParagraph"/>
              <w:ind w:left="107" w:right="94"/>
              <w:jc w:val="both"/>
            </w:pPr>
            <w:r w:rsidRPr="00714048">
              <w:t xml:space="preserve">Any support needs of the relevant person would be considered at the earliest opportunity and appropriate support made available. In </w:t>
            </w:r>
            <w:r w:rsidR="007836BF" w:rsidRPr="00714048">
              <w:t>addition,</w:t>
            </w:r>
            <w:r w:rsidRPr="00714048">
              <w:t xml:space="preserve"> the council have independent advocacy providers and a number of support providers who could</w:t>
            </w:r>
            <w:r w:rsidR="00CE7887" w:rsidRPr="00714048">
              <w:t xml:space="preserve"> </w:t>
            </w:r>
            <w:r w:rsidRPr="00714048">
              <w:t>assist if necessary.</w:t>
            </w:r>
          </w:p>
        </w:tc>
      </w:tr>
      <w:tr w:rsidR="00EA52D9" w:rsidRPr="00714048">
        <w:trPr>
          <w:trHeight w:val="551"/>
        </w:trPr>
        <w:tc>
          <w:tcPr>
            <w:tcW w:w="4495" w:type="dxa"/>
            <w:shd w:val="clear" w:color="auto" w:fill="C0C0C0"/>
          </w:tcPr>
          <w:p w:rsidR="00EA52D9" w:rsidRPr="00714048" w:rsidRDefault="00BC7622">
            <w:pPr>
              <w:pStyle w:val="TableParagraph"/>
              <w:spacing w:line="270" w:lineRule="atLeast"/>
              <w:ind w:left="107" w:right="235"/>
            </w:pPr>
            <w:r w:rsidRPr="00714048">
              <w:t>Please note anything else that you feel may be applicable to report?</w:t>
            </w:r>
          </w:p>
        </w:tc>
        <w:tc>
          <w:tcPr>
            <w:tcW w:w="4521" w:type="dxa"/>
          </w:tcPr>
          <w:p w:rsidR="00EA52D9" w:rsidRPr="00714048" w:rsidRDefault="00BC7622">
            <w:pPr>
              <w:pStyle w:val="TableParagraph"/>
              <w:ind w:left="1151" w:right="1144"/>
              <w:jc w:val="center"/>
            </w:pPr>
            <w:r w:rsidRPr="00714048">
              <w:t>N/A</w:t>
            </w:r>
          </w:p>
        </w:tc>
      </w:tr>
    </w:tbl>
    <w:p w:rsidR="00EA52D9" w:rsidRDefault="00EA52D9" w:rsidP="0052455C">
      <w:pPr>
        <w:spacing w:line="360" w:lineRule="auto"/>
        <w:ind w:right="617"/>
        <w:rPr>
          <w:sz w:val="16"/>
        </w:rPr>
      </w:pPr>
      <w:bookmarkStart w:id="3" w:name="Duty_of_Candour_procedure"/>
      <w:bookmarkEnd w:id="3"/>
    </w:p>
    <w:sectPr w:rsidR="00EA52D9" w:rsidSect="0052455C">
      <w:pgSz w:w="11910" w:h="16840"/>
      <w:pgMar w:top="1220" w:right="820" w:bottom="1200" w:left="880" w:header="349" w:footer="10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7E5" w:rsidRDefault="00AB77E5">
      <w:r>
        <w:separator/>
      </w:r>
    </w:p>
  </w:endnote>
  <w:endnote w:type="continuationSeparator" w:id="0">
    <w:p w:rsidR="00AB77E5" w:rsidRDefault="00AB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D9" w:rsidRDefault="002D1FDB">
    <w:pPr>
      <w:pStyle w:val="BodyText"/>
      <w:spacing w:line="14" w:lineRule="auto"/>
      <w:rPr>
        <w:sz w:val="20"/>
      </w:rPr>
    </w:pPr>
    <w:r>
      <w:rPr>
        <w:noProof/>
      </w:rPr>
      <mc:AlternateContent>
        <mc:Choice Requires="wps">
          <w:drawing>
            <wp:anchor distT="0" distB="0" distL="114300" distR="114300" simplePos="0" relativeHeight="503293784" behindDoc="1" locked="0" layoutInCell="1" allowOverlap="1" wp14:anchorId="47A3B852" wp14:editId="6EE2EFDD">
              <wp:simplePos x="0" y="0"/>
              <wp:positionH relativeFrom="page">
                <wp:posOffset>3923030</wp:posOffset>
              </wp:positionH>
              <wp:positionV relativeFrom="page">
                <wp:posOffset>10093960</wp:posOffset>
              </wp:positionV>
              <wp:extent cx="135890"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D9" w:rsidRDefault="00BC7622">
                          <w:pPr>
                            <w:pStyle w:val="BodyText"/>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B852" id="_x0000_t202" coordsize="21600,21600" o:spt="202" path="m,l,21600r21600,l21600,xe">
              <v:stroke joinstyle="miter"/>
              <v:path gradientshapeok="t" o:connecttype="rect"/>
            </v:shapetype>
            <v:shape id="Text Box 10" o:spid="_x0000_s1026" type="#_x0000_t202" style="position:absolute;margin-left:308.9pt;margin-top:794.8pt;width:10.7pt;height:15.45pt;z-index:-22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rrQIAAKo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" filled="f" stroked="f">
              <v:textbox inset="0,0,0,0">
                <w:txbxContent>
                  <w:p w:rsidR="00EA52D9" w:rsidRDefault="00BC7622">
                    <w:pPr>
                      <w:pStyle w:val="BodyText"/>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D9" w:rsidRDefault="002D1FDB">
    <w:pPr>
      <w:pStyle w:val="BodyText"/>
      <w:spacing w:line="14" w:lineRule="auto"/>
      <w:rPr>
        <w:sz w:val="20"/>
      </w:rPr>
    </w:pPr>
    <w:r>
      <w:rPr>
        <w:noProof/>
      </w:rPr>
      <mc:AlternateContent>
        <mc:Choice Requires="wps">
          <w:drawing>
            <wp:anchor distT="0" distB="0" distL="114300" distR="114300" simplePos="0" relativeHeight="503293904" behindDoc="1" locked="0" layoutInCell="1" allowOverlap="1" wp14:anchorId="3B4C6CF3" wp14:editId="7DFC6A16">
              <wp:simplePos x="0" y="0"/>
              <wp:positionH relativeFrom="page">
                <wp:posOffset>3001645</wp:posOffset>
              </wp:positionH>
              <wp:positionV relativeFrom="page">
                <wp:posOffset>9945370</wp:posOffset>
              </wp:positionV>
              <wp:extent cx="1558290" cy="139700"/>
              <wp:effectExtent l="1270" t="1270" r="254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D9" w:rsidRDefault="00BC7622">
                          <w:pPr>
                            <w:spacing w:before="15"/>
                            <w:ind w:left="20"/>
                            <w:rPr>
                              <w:b/>
                              <w:sz w:val="16"/>
                            </w:rPr>
                          </w:pPr>
                          <w:r>
                            <w:rPr>
                              <w:b/>
                              <w:sz w:val="16"/>
                            </w:rPr>
                            <w:t>DATA LABEL PROTECT: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C6CF3" id="_x0000_t202" coordsize="21600,21600" o:spt="202" path="m,l,21600r21600,l21600,xe">
              <v:stroke joinstyle="miter"/>
              <v:path gradientshapeok="t" o:connecttype="rect"/>
            </v:shapetype>
            <v:shape id="Text Box 5" o:spid="_x0000_s1029" type="#_x0000_t202" style="position:absolute;margin-left:236.35pt;margin-top:783.1pt;width:122.7pt;height:11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fhsQ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" filled="f" stroked="f">
              <v:textbox inset="0,0,0,0">
                <w:txbxContent>
                  <w:p w:rsidR="00EA52D9" w:rsidRDefault="00BC7622">
                    <w:pPr>
                      <w:spacing w:before="15"/>
                      <w:ind w:left="20"/>
                      <w:rPr>
                        <w:b/>
                        <w:sz w:val="16"/>
                      </w:rPr>
                    </w:pPr>
                    <w:r>
                      <w:rPr>
                        <w:b/>
                        <w:sz w:val="16"/>
                      </w:rPr>
                      <w:t>DATA LABEL PROTECT: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7E5" w:rsidRDefault="00AB77E5">
      <w:r>
        <w:separator/>
      </w:r>
    </w:p>
  </w:footnote>
  <w:footnote w:type="continuationSeparator" w:id="0">
    <w:p w:rsidR="00AB77E5" w:rsidRDefault="00AB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D9" w:rsidRDefault="00EA52D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2D9" w:rsidRDefault="002D1FDB">
    <w:pPr>
      <w:pStyle w:val="BodyText"/>
      <w:spacing w:line="14" w:lineRule="auto"/>
      <w:rPr>
        <w:sz w:val="20"/>
      </w:rPr>
    </w:pPr>
    <w:r>
      <w:rPr>
        <w:noProof/>
      </w:rPr>
      <mc:AlternateContent>
        <mc:Choice Requires="wps">
          <w:drawing>
            <wp:anchor distT="0" distB="0" distL="114300" distR="114300" simplePos="0" relativeHeight="503293832" behindDoc="1" locked="0" layoutInCell="1" allowOverlap="1" wp14:anchorId="1318D578" wp14:editId="3AC20A87">
              <wp:simplePos x="0" y="0"/>
              <wp:positionH relativeFrom="page">
                <wp:posOffset>3028950</wp:posOffset>
              </wp:positionH>
              <wp:positionV relativeFrom="page">
                <wp:posOffset>436880</wp:posOffset>
              </wp:positionV>
              <wp:extent cx="1503680" cy="186055"/>
              <wp:effectExtent l="0" t="0" r="127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D9" w:rsidRDefault="00BC7622">
                          <w:pPr>
                            <w:spacing w:before="19"/>
                            <w:ind w:left="20"/>
                            <w:rPr>
                              <w:rFonts w:ascii="Arial Narrow" w:hAnsi="Arial Narrow"/>
                              <w:b/>
                            </w:rPr>
                          </w:pPr>
                          <w:r>
                            <w:rPr>
                              <w:rFonts w:ascii="Arial Narrow" w:hAnsi="Arial Narrow"/>
                              <w:b/>
                            </w:rPr>
                            <w:t>Data Label Protect –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D578" id="_x0000_t202" coordsize="21600,21600" o:spt="202" path="m,l,21600r21600,l21600,xe">
              <v:stroke joinstyle="miter"/>
              <v:path gradientshapeok="t" o:connecttype="rect"/>
            </v:shapetype>
            <v:shape id="Text Box 8" o:spid="_x0000_s1027" type="#_x0000_t202" style="position:absolute;margin-left:238.5pt;margin-top:34.4pt;width:118.4pt;height:14.65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VrgIAALE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" filled="f" stroked="f">
              <v:textbox inset="0,0,0,0">
                <w:txbxContent>
                  <w:p w:rsidR="00EA52D9" w:rsidRDefault="00BC7622">
                    <w:pPr>
                      <w:spacing w:before="19"/>
                      <w:ind w:left="20"/>
                      <w:rPr>
                        <w:rFonts w:ascii="Arial Narrow" w:hAnsi="Arial Narrow"/>
                        <w:b/>
                      </w:rPr>
                    </w:pPr>
                    <w:r>
                      <w:rPr>
                        <w:rFonts w:ascii="Arial Narrow" w:hAnsi="Arial Narrow"/>
                        <w:b/>
                      </w:rPr>
                      <w:t>Data Label Protect – Public</w:t>
                    </w:r>
                  </w:p>
                </w:txbxContent>
              </v:textbox>
              <w10:wrap anchorx="page" anchory="page"/>
            </v:shape>
          </w:pict>
        </mc:Fallback>
      </mc:AlternateContent>
    </w:r>
    <w:r>
      <w:rPr>
        <w:noProof/>
      </w:rPr>
      <mc:AlternateContent>
        <mc:Choice Requires="wps">
          <w:drawing>
            <wp:anchor distT="0" distB="0" distL="114300" distR="114300" simplePos="0" relativeHeight="503293856" behindDoc="1" locked="0" layoutInCell="1" allowOverlap="1" wp14:anchorId="411A9DC8" wp14:editId="3523D919">
              <wp:simplePos x="0" y="0"/>
              <wp:positionH relativeFrom="page">
                <wp:posOffset>901700</wp:posOffset>
              </wp:positionH>
              <wp:positionV relativeFrom="page">
                <wp:posOffset>596900</wp:posOffset>
              </wp:positionV>
              <wp:extent cx="644525" cy="18605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2D9" w:rsidRDefault="00BC7622">
                          <w:pPr>
                            <w:spacing w:before="19"/>
                            <w:ind w:left="20"/>
                            <w:rPr>
                              <w:rFonts w:ascii="Arial Narrow"/>
                              <w:b/>
                            </w:rPr>
                          </w:pPr>
                          <w:r>
                            <w:rPr>
                              <w:rFonts w:ascii="Arial Narrow"/>
                              <w:b/>
                            </w:rPr>
                            <w:t>Appendix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9DC8" id="Text Box 7" o:spid="_x0000_s1028" type="#_x0000_t202" style="position:absolute;margin-left:71pt;margin-top:47pt;width:50.75pt;height:14.65pt;z-index:-2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tyrw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" filled="f" stroked="f">
              <v:textbox inset="0,0,0,0">
                <w:txbxContent>
                  <w:p w:rsidR="00EA52D9" w:rsidRDefault="00BC7622">
                    <w:pPr>
                      <w:spacing w:before="19"/>
                      <w:ind w:left="20"/>
                      <w:rPr>
                        <w:rFonts w:ascii="Arial Narrow"/>
                        <w:b/>
                      </w:rPr>
                    </w:pPr>
                    <w:r>
                      <w:rPr>
                        <w:rFonts w:ascii="Arial Narrow"/>
                        <w:b/>
                      </w:rPr>
                      <w:t>Appendix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EC3"/>
    <w:multiLevelType w:val="hybridMultilevel"/>
    <w:tmpl w:val="CD805138"/>
    <w:lvl w:ilvl="0" w:tplc="0504D1AE">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 w15:restartNumberingAfterBreak="0">
    <w:nsid w:val="1A404426"/>
    <w:multiLevelType w:val="hybridMultilevel"/>
    <w:tmpl w:val="45202A3E"/>
    <w:lvl w:ilvl="0" w:tplc="DD1AEC6C">
      <w:start w:val="1"/>
      <w:numFmt w:val="decimal"/>
      <w:lvlText w:val="%1)"/>
      <w:lvlJc w:val="left"/>
      <w:pPr>
        <w:ind w:left="1280" w:hanging="360"/>
        <w:jc w:val="left"/>
      </w:pPr>
      <w:rPr>
        <w:rFonts w:ascii="Arial" w:eastAsia="Arial" w:hAnsi="Arial" w:cs="Arial" w:hint="default"/>
        <w:spacing w:val="-3"/>
        <w:w w:val="100"/>
        <w:sz w:val="24"/>
        <w:szCs w:val="24"/>
      </w:rPr>
    </w:lvl>
    <w:lvl w:ilvl="1" w:tplc="AA20FF36">
      <w:numFmt w:val="bullet"/>
      <w:lvlText w:val="•"/>
      <w:lvlJc w:val="left"/>
      <w:pPr>
        <w:ind w:left="2172" w:hanging="360"/>
      </w:pPr>
      <w:rPr>
        <w:rFonts w:hint="default"/>
      </w:rPr>
    </w:lvl>
    <w:lvl w:ilvl="2" w:tplc="4308FC0E">
      <w:numFmt w:val="bullet"/>
      <w:lvlText w:val="•"/>
      <w:lvlJc w:val="left"/>
      <w:pPr>
        <w:ind w:left="3065" w:hanging="360"/>
      </w:pPr>
      <w:rPr>
        <w:rFonts w:hint="default"/>
      </w:rPr>
    </w:lvl>
    <w:lvl w:ilvl="3" w:tplc="5220ED44">
      <w:numFmt w:val="bullet"/>
      <w:lvlText w:val="•"/>
      <w:lvlJc w:val="left"/>
      <w:pPr>
        <w:ind w:left="3957" w:hanging="360"/>
      </w:pPr>
      <w:rPr>
        <w:rFonts w:hint="default"/>
      </w:rPr>
    </w:lvl>
    <w:lvl w:ilvl="4" w:tplc="ED98852E">
      <w:numFmt w:val="bullet"/>
      <w:lvlText w:val="•"/>
      <w:lvlJc w:val="left"/>
      <w:pPr>
        <w:ind w:left="4850" w:hanging="360"/>
      </w:pPr>
      <w:rPr>
        <w:rFonts w:hint="default"/>
      </w:rPr>
    </w:lvl>
    <w:lvl w:ilvl="5" w:tplc="D206AE6A">
      <w:numFmt w:val="bullet"/>
      <w:lvlText w:val="•"/>
      <w:lvlJc w:val="left"/>
      <w:pPr>
        <w:ind w:left="5743" w:hanging="360"/>
      </w:pPr>
      <w:rPr>
        <w:rFonts w:hint="default"/>
      </w:rPr>
    </w:lvl>
    <w:lvl w:ilvl="6" w:tplc="8B7A3740">
      <w:numFmt w:val="bullet"/>
      <w:lvlText w:val="•"/>
      <w:lvlJc w:val="left"/>
      <w:pPr>
        <w:ind w:left="6635" w:hanging="360"/>
      </w:pPr>
      <w:rPr>
        <w:rFonts w:hint="default"/>
      </w:rPr>
    </w:lvl>
    <w:lvl w:ilvl="7" w:tplc="08366E06">
      <w:numFmt w:val="bullet"/>
      <w:lvlText w:val="•"/>
      <w:lvlJc w:val="left"/>
      <w:pPr>
        <w:ind w:left="7528" w:hanging="360"/>
      </w:pPr>
      <w:rPr>
        <w:rFonts w:hint="default"/>
      </w:rPr>
    </w:lvl>
    <w:lvl w:ilvl="8" w:tplc="3D485152">
      <w:numFmt w:val="bullet"/>
      <w:lvlText w:val="•"/>
      <w:lvlJc w:val="left"/>
      <w:pPr>
        <w:ind w:left="8421" w:hanging="360"/>
      </w:pPr>
      <w:rPr>
        <w:rFonts w:hint="default"/>
      </w:rPr>
    </w:lvl>
  </w:abstractNum>
  <w:abstractNum w:abstractNumId="2" w15:restartNumberingAfterBreak="0">
    <w:nsid w:val="1F233FD2"/>
    <w:multiLevelType w:val="hybridMultilevel"/>
    <w:tmpl w:val="21BEE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005672"/>
    <w:multiLevelType w:val="hybridMultilevel"/>
    <w:tmpl w:val="3C389B4E"/>
    <w:lvl w:ilvl="0" w:tplc="922C16CC">
      <w:numFmt w:val="bullet"/>
      <w:lvlText w:val=""/>
      <w:lvlJc w:val="left"/>
      <w:pPr>
        <w:ind w:left="1280" w:hanging="360"/>
      </w:pPr>
      <w:rPr>
        <w:rFonts w:ascii="Symbol" w:eastAsia="Symbol" w:hAnsi="Symbol" w:cs="Symbol" w:hint="default"/>
        <w:w w:val="100"/>
        <w:sz w:val="24"/>
        <w:szCs w:val="24"/>
      </w:rPr>
    </w:lvl>
    <w:lvl w:ilvl="1" w:tplc="D0C6B9D0">
      <w:numFmt w:val="bullet"/>
      <w:lvlText w:val="o"/>
      <w:lvlJc w:val="left"/>
      <w:pPr>
        <w:ind w:left="2000" w:hanging="360"/>
      </w:pPr>
      <w:rPr>
        <w:rFonts w:ascii="Courier New" w:eastAsia="Courier New" w:hAnsi="Courier New" w:cs="Courier New" w:hint="default"/>
        <w:w w:val="100"/>
        <w:sz w:val="24"/>
        <w:szCs w:val="24"/>
      </w:rPr>
    </w:lvl>
    <w:lvl w:ilvl="2" w:tplc="194483DA">
      <w:numFmt w:val="bullet"/>
      <w:lvlText w:val="•"/>
      <w:lvlJc w:val="left"/>
      <w:pPr>
        <w:ind w:left="2911" w:hanging="360"/>
      </w:pPr>
      <w:rPr>
        <w:rFonts w:hint="default"/>
      </w:rPr>
    </w:lvl>
    <w:lvl w:ilvl="3" w:tplc="C290812C">
      <w:numFmt w:val="bullet"/>
      <w:lvlText w:val="•"/>
      <w:lvlJc w:val="left"/>
      <w:pPr>
        <w:ind w:left="3823" w:hanging="360"/>
      </w:pPr>
      <w:rPr>
        <w:rFonts w:hint="default"/>
      </w:rPr>
    </w:lvl>
    <w:lvl w:ilvl="4" w:tplc="DF9885E2">
      <w:numFmt w:val="bullet"/>
      <w:lvlText w:val="•"/>
      <w:lvlJc w:val="left"/>
      <w:pPr>
        <w:ind w:left="4735" w:hanging="360"/>
      </w:pPr>
      <w:rPr>
        <w:rFonts w:hint="default"/>
      </w:rPr>
    </w:lvl>
    <w:lvl w:ilvl="5" w:tplc="9A6C9E50">
      <w:numFmt w:val="bullet"/>
      <w:lvlText w:val="•"/>
      <w:lvlJc w:val="left"/>
      <w:pPr>
        <w:ind w:left="5647" w:hanging="360"/>
      </w:pPr>
      <w:rPr>
        <w:rFonts w:hint="default"/>
      </w:rPr>
    </w:lvl>
    <w:lvl w:ilvl="6" w:tplc="0F00EFA4">
      <w:numFmt w:val="bullet"/>
      <w:lvlText w:val="•"/>
      <w:lvlJc w:val="left"/>
      <w:pPr>
        <w:ind w:left="6559" w:hanging="360"/>
      </w:pPr>
      <w:rPr>
        <w:rFonts w:hint="default"/>
      </w:rPr>
    </w:lvl>
    <w:lvl w:ilvl="7" w:tplc="168E8DAC">
      <w:numFmt w:val="bullet"/>
      <w:lvlText w:val="•"/>
      <w:lvlJc w:val="left"/>
      <w:pPr>
        <w:ind w:left="7470" w:hanging="360"/>
      </w:pPr>
      <w:rPr>
        <w:rFonts w:hint="default"/>
      </w:rPr>
    </w:lvl>
    <w:lvl w:ilvl="8" w:tplc="903A9D66">
      <w:numFmt w:val="bullet"/>
      <w:lvlText w:val="•"/>
      <w:lvlJc w:val="left"/>
      <w:pPr>
        <w:ind w:left="8382" w:hanging="360"/>
      </w:pPr>
      <w:rPr>
        <w:rFonts w:hint="default"/>
      </w:rPr>
    </w:lvl>
  </w:abstractNum>
  <w:abstractNum w:abstractNumId="4" w15:restartNumberingAfterBreak="0">
    <w:nsid w:val="51305C04"/>
    <w:multiLevelType w:val="hybridMultilevel"/>
    <w:tmpl w:val="854C3336"/>
    <w:lvl w:ilvl="0" w:tplc="02DE6CBA">
      <w:numFmt w:val="bullet"/>
      <w:lvlText w:val="•"/>
      <w:lvlJc w:val="left"/>
      <w:pPr>
        <w:tabs>
          <w:tab w:val="num" w:pos="72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51EDC"/>
    <w:multiLevelType w:val="hybridMultilevel"/>
    <w:tmpl w:val="2B30156C"/>
    <w:lvl w:ilvl="0" w:tplc="AA20FF36">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C4183"/>
    <w:multiLevelType w:val="hybridMultilevel"/>
    <w:tmpl w:val="E9F0469A"/>
    <w:lvl w:ilvl="0" w:tplc="F60841CA">
      <w:numFmt w:val="bullet"/>
      <w:lvlText w:val=""/>
      <w:lvlJc w:val="left"/>
      <w:pPr>
        <w:ind w:left="615" w:hanging="361"/>
      </w:pPr>
      <w:rPr>
        <w:rFonts w:hint="default"/>
        <w:w w:val="100"/>
      </w:rPr>
    </w:lvl>
    <w:lvl w:ilvl="1" w:tplc="2FCE4C1A">
      <w:numFmt w:val="bullet"/>
      <w:lvlText w:val="•"/>
      <w:lvlJc w:val="left"/>
      <w:pPr>
        <w:ind w:left="1441" w:hanging="361"/>
      </w:pPr>
      <w:rPr>
        <w:rFonts w:hint="default"/>
      </w:rPr>
    </w:lvl>
    <w:lvl w:ilvl="2" w:tplc="ED7E9BA8">
      <w:numFmt w:val="bullet"/>
      <w:lvlText w:val="•"/>
      <w:lvlJc w:val="left"/>
      <w:pPr>
        <w:ind w:left="2261" w:hanging="361"/>
      </w:pPr>
      <w:rPr>
        <w:rFonts w:hint="default"/>
      </w:rPr>
    </w:lvl>
    <w:lvl w:ilvl="3" w:tplc="FC027BEA">
      <w:numFmt w:val="bullet"/>
      <w:lvlText w:val="•"/>
      <w:lvlJc w:val="left"/>
      <w:pPr>
        <w:ind w:left="3082" w:hanging="361"/>
      </w:pPr>
      <w:rPr>
        <w:rFonts w:hint="default"/>
      </w:rPr>
    </w:lvl>
    <w:lvl w:ilvl="4" w:tplc="27C29DB0">
      <w:numFmt w:val="bullet"/>
      <w:lvlText w:val="•"/>
      <w:lvlJc w:val="left"/>
      <w:pPr>
        <w:ind w:left="3902" w:hanging="361"/>
      </w:pPr>
      <w:rPr>
        <w:rFonts w:hint="default"/>
      </w:rPr>
    </w:lvl>
    <w:lvl w:ilvl="5" w:tplc="E91696E4">
      <w:numFmt w:val="bullet"/>
      <w:lvlText w:val="•"/>
      <w:lvlJc w:val="left"/>
      <w:pPr>
        <w:ind w:left="4723" w:hanging="361"/>
      </w:pPr>
      <w:rPr>
        <w:rFonts w:hint="default"/>
      </w:rPr>
    </w:lvl>
    <w:lvl w:ilvl="6" w:tplc="213C5782">
      <w:numFmt w:val="bullet"/>
      <w:lvlText w:val="•"/>
      <w:lvlJc w:val="left"/>
      <w:pPr>
        <w:ind w:left="5543" w:hanging="361"/>
      </w:pPr>
      <w:rPr>
        <w:rFonts w:hint="default"/>
      </w:rPr>
    </w:lvl>
    <w:lvl w:ilvl="7" w:tplc="83B88FBA">
      <w:numFmt w:val="bullet"/>
      <w:lvlText w:val="•"/>
      <w:lvlJc w:val="left"/>
      <w:pPr>
        <w:ind w:left="6363" w:hanging="361"/>
      </w:pPr>
      <w:rPr>
        <w:rFonts w:hint="default"/>
      </w:rPr>
    </w:lvl>
    <w:lvl w:ilvl="8" w:tplc="7A4C24D2">
      <w:numFmt w:val="bullet"/>
      <w:lvlText w:val="•"/>
      <w:lvlJc w:val="left"/>
      <w:pPr>
        <w:ind w:left="7184" w:hanging="361"/>
      </w:pPr>
      <w:rPr>
        <w:rFonts w:hint="default"/>
      </w:rPr>
    </w:lvl>
  </w:abstractNum>
  <w:abstractNum w:abstractNumId="7" w15:restartNumberingAfterBreak="0">
    <w:nsid w:val="68276511"/>
    <w:multiLevelType w:val="hybridMultilevel"/>
    <w:tmpl w:val="2676F5BC"/>
    <w:lvl w:ilvl="0" w:tplc="B5FC3926">
      <w:numFmt w:val="bullet"/>
      <w:lvlText w:val=""/>
      <w:lvlJc w:val="left"/>
      <w:pPr>
        <w:ind w:left="614" w:hanging="361"/>
      </w:pPr>
      <w:rPr>
        <w:rFonts w:ascii="Symbol" w:eastAsia="Symbol" w:hAnsi="Symbol" w:cs="Symbol" w:hint="default"/>
        <w:w w:val="100"/>
        <w:sz w:val="22"/>
        <w:szCs w:val="22"/>
      </w:rPr>
    </w:lvl>
    <w:lvl w:ilvl="1" w:tplc="F4CA84B8">
      <w:numFmt w:val="bullet"/>
      <w:lvlText w:val="•"/>
      <w:lvlJc w:val="left"/>
      <w:pPr>
        <w:ind w:left="1440" w:hanging="361"/>
      </w:pPr>
      <w:rPr>
        <w:rFonts w:hint="default"/>
      </w:rPr>
    </w:lvl>
    <w:lvl w:ilvl="2" w:tplc="1C02EA74">
      <w:numFmt w:val="bullet"/>
      <w:lvlText w:val="•"/>
      <w:lvlJc w:val="left"/>
      <w:pPr>
        <w:ind w:left="2260" w:hanging="361"/>
      </w:pPr>
      <w:rPr>
        <w:rFonts w:hint="default"/>
      </w:rPr>
    </w:lvl>
    <w:lvl w:ilvl="3" w:tplc="15CA6278">
      <w:numFmt w:val="bullet"/>
      <w:lvlText w:val="•"/>
      <w:lvlJc w:val="left"/>
      <w:pPr>
        <w:ind w:left="3081" w:hanging="361"/>
      </w:pPr>
      <w:rPr>
        <w:rFonts w:hint="default"/>
      </w:rPr>
    </w:lvl>
    <w:lvl w:ilvl="4" w:tplc="23D4E510">
      <w:numFmt w:val="bullet"/>
      <w:lvlText w:val="•"/>
      <w:lvlJc w:val="left"/>
      <w:pPr>
        <w:ind w:left="3901" w:hanging="361"/>
      </w:pPr>
      <w:rPr>
        <w:rFonts w:hint="default"/>
      </w:rPr>
    </w:lvl>
    <w:lvl w:ilvl="5" w:tplc="4A9E0460">
      <w:numFmt w:val="bullet"/>
      <w:lvlText w:val="•"/>
      <w:lvlJc w:val="left"/>
      <w:pPr>
        <w:ind w:left="4722" w:hanging="361"/>
      </w:pPr>
      <w:rPr>
        <w:rFonts w:hint="default"/>
      </w:rPr>
    </w:lvl>
    <w:lvl w:ilvl="6" w:tplc="4B067A7C">
      <w:numFmt w:val="bullet"/>
      <w:lvlText w:val="•"/>
      <w:lvlJc w:val="left"/>
      <w:pPr>
        <w:ind w:left="5542" w:hanging="361"/>
      </w:pPr>
      <w:rPr>
        <w:rFonts w:hint="default"/>
      </w:rPr>
    </w:lvl>
    <w:lvl w:ilvl="7" w:tplc="51661E2C">
      <w:numFmt w:val="bullet"/>
      <w:lvlText w:val="•"/>
      <w:lvlJc w:val="left"/>
      <w:pPr>
        <w:ind w:left="6362" w:hanging="361"/>
      </w:pPr>
      <w:rPr>
        <w:rFonts w:hint="default"/>
      </w:rPr>
    </w:lvl>
    <w:lvl w:ilvl="8" w:tplc="032E62A4">
      <w:numFmt w:val="bullet"/>
      <w:lvlText w:val="•"/>
      <w:lvlJc w:val="left"/>
      <w:pPr>
        <w:ind w:left="7183" w:hanging="361"/>
      </w:pPr>
      <w:rPr>
        <w:rFonts w:hint="default"/>
      </w:rPr>
    </w:lvl>
  </w:abstractNum>
  <w:abstractNum w:abstractNumId="8" w15:restartNumberingAfterBreak="0">
    <w:nsid w:val="68BA705E"/>
    <w:multiLevelType w:val="hybridMultilevel"/>
    <w:tmpl w:val="43406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C190A"/>
    <w:multiLevelType w:val="hybridMultilevel"/>
    <w:tmpl w:val="1B3A0786"/>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0" w15:restartNumberingAfterBreak="0">
    <w:nsid w:val="728A6A19"/>
    <w:multiLevelType w:val="hybridMultilevel"/>
    <w:tmpl w:val="29446AC6"/>
    <w:lvl w:ilvl="0" w:tplc="939656B2">
      <w:numFmt w:val="bullet"/>
      <w:lvlText w:val=""/>
      <w:lvlJc w:val="left"/>
      <w:pPr>
        <w:ind w:left="1036" w:hanging="361"/>
      </w:pPr>
      <w:rPr>
        <w:rFonts w:ascii="Symbol" w:eastAsia="Symbol" w:hAnsi="Symbol" w:cs="Symbol" w:hint="default"/>
        <w:w w:val="100"/>
        <w:sz w:val="22"/>
        <w:szCs w:val="22"/>
      </w:rPr>
    </w:lvl>
    <w:lvl w:ilvl="1" w:tplc="853E3A38">
      <w:numFmt w:val="bullet"/>
      <w:lvlText w:val="•"/>
      <w:lvlJc w:val="left"/>
      <w:pPr>
        <w:ind w:left="1860" w:hanging="361"/>
      </w:pPr>
      <w:rPr>
        <w:rFonts w:hint="default"/>
      </w:rPr>
    </w:lvl>
    <w:lvl w:ilvl="2" w:tplc="BE682E98">
      <w:numFmt w:val="bullet"/>
      <w:lvlText w:val="•"/>
      <w:lvlJc w:val="left"/>
      <w:pPr>
        <w:ind w:left="2680" w:hanging="361"/>
      </w:pPr>
      <w:rPr>
        <w:rFonts w:hint="default"/>
      </w:rPr>
    </w:lvl>
    <w:lvl w:ilvl="3" w:tplc="C3BC97EC">
      <w:numFmt w:val="bullet"/>
      <w:lvlText w:val="•"/>
      <w:lvlJc w:val="left"/>
      <w:pPr>
        <w:ind w:left="3501" w:hanging="361"/>
      </w:pPr>
      <w:rPr>
        <w:rFonts w:hint="default"/>
      </w:rPr>
    </w:lvl>
    <w:lvl w:ilvl="4" w:tplc="A2422EAA">
      <w:numFmt w:val="bullet"/>
      <w:lvlText w:val="•"/>
      <w:lvlJc w:val="left"/>
      <w:pPr>
        <w:ind w:left="4321" w:hanging="361"/>
      </w:pPr>
      <w:rPr>
        <w:rFonts w:hint="default"/>
      </w:rPr>
    </w:lvl>
    <w:lvl w:ilvl="5" w:tplc="B5ECC3E8">
      <w:numFmt w:val="bullet"/>
      <w:lvlText w:val="•"/>
      <w:lvlJc w:val="left"/>
      <w:pPr>
        <w:ind w:left="5142" w:hanging="361"/>
      </w:pPr>
      <w:rPr>
        <w:rFonts w:hint="default"/>
      </w:rPr>
    </w:lvl>
    <w:lvl w:ilvl="6" w:tplc="26DC3C6E">
      <w:numFmt w:val="bullet"/>
      <w:lvlText w:val="•"/>
      <w:lvlJc w:val="left"/>
      <w:pPr>
        <w:ind w:left="5962" w:hanging="361"/>
      </w:pPr>
      <w:rPr>
        <w:rFonts w:hint="default"/>
      </w:rPr>
    </w:lvl>
    <w:lvl w:ilvl="7" w:tplc="BB5EAE92">
      <w:numFmt w:val="bullet"/>
      <w:lvlText w:val="•"/>
      <w:lvlJc w:val="left"/>
      <w:pPr>
        <w:ind w:left="6782" w:hanging="361"/>
      </w:pPr>
      <w:rPr>
        <w:rFonts w:hint="default"/>
      </w:rPr>
    </w:lvl>
    <w:lvl w:ilvl="8" w:tplc="CA70D408">
      <w:numFmt w:val="bullet"/>
      <w:lvlText w:val="•"/>
      <w:lvlJc w:val="left"/>
      <w:pPr>
        <w:ind w:left="7603" w:hanging="361"/>
      </w:pPr>
      <w:rPr>
        <w:rFonts w:hint="default"/>
      </w:rPr>
    </w:lvl>
  </w:abstractNum>
  <w:abstractNum w:abstractNumId="11" w15:restartNumberingAfterBreak="0">
    <w:nsid w:val="7E7B035D"/>
    <w:multiLevelType w:val="hybridMultilevel"/>
    <w:tmpl w:val="7876A8C0"/>
    <w:lvl w:ilvl="0" w:tplc="02DE6CBA">
      <w:numFmt w:val="bullet"/>
      <w:lvlText w:val="•"/>
      <w:lvlJc w:val="left"/>
      <w:pPr>
        <w:tabs>
          <w:tab w:val="num" w:pos="720"/>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10"/>
  </w:num>
  <w:num w:numId="6">
    <w:abstractNumId w:val="5"/>
  </w:num>
  <w:num w:numId="7">
    <w:abstractNumId w:val="2"/>
  </w:num>
  <w:num w:numId="8">
    <w:abstractNumId w:val="9"/>
  </w:num>
  <w:num w:numId="9">
    <w:abstractNumId w:val="0"/>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D9"/>
    <w:rsid w:val="00015B3D"/>
    <w:rsid w:val="00027A6A"/>
    <w:rsid w:val="00047EC5"/>
    <w:rsid w:val="000778DE"/>
    <w:rsid w:val="00080BB9"/>
    <w:rsid w:val="000915F5"/>
    <w:rsid w:val="0010067D"/>
    <w:rsid w:val="001155B3"/>
    <w:rsid w:val="0015201A"/>
    <w:rsid w:val="00171127"/>
    <w:rsid w:val="001712EC"/>
    <w:rsid w:val="001A3658"/>
    <w:rsid w:val="001B48D6"/>
    <w:rsid w:val="001E34A1"/>
    <w:rsid w:val="001E580E"/>
    <w:rsid w:val="00220B4E"/>
    <w:rsid w:val="00250D81"/>
    <w:rsid w:val="0025724B"/>
    <w:rsid w:val="00267337"/>
    <w:rsid w:val="0027561C"/>
    <w:rsid w:val="00290A27"/>
    <w:rsid w:val="002C2777"/>
    <w:rsid w:val="002D1FDB"/>
    <w:rsid w:val="002D308F"/>
    <w:rsid w:val="00300FF5"/>
    <w:rsid w:val="00312419"/>
    <w:rsid w:val="00327A66"/>
    <w:rsid w:val="00384D7F"/>
    <w:rsid w:val="003B4161"/>
    <w:rsid w:val="003E2F29"/>
    <w:rsid w:val="004228F2"/>
    <w:rsid w:val="00422B73"/>
    <w:rsid w:val="00432F83"/>
    <w:rsid w:val="00434D69"/>
    <w:rsid w:val="00440E17"/>
    <w:rsid w:val="004454AC"/>
    <w:rsid w:val="004466AC"/>
    <w:rsid w:val="00456617"/>
    <w:rsid w:val="00485A93"/>
    <w:rsid w:val="004965FA"/>
    <w:rsid w:val="004C3FC0"/>
    <w:rsid w:val="004E1973"/>
    <w:rsid w:val="004E756C"/>
    <w:rsid w:val="00517589"/>
    <w:rsid w:val="0052455C"/>
    <w:rsid w:val="00527AE1"/>
    <w:rsid w:val="00560CB3"/>
    <w:rsid w:val="005974F2"/>
    <w:rsid w:val="005C14DF"/>
    <w:rsid w:val="006132CF"/>
    <w:rsid w:val="0062282A"/>
    <w:rsid w:val="00630299"/>
    <w:rsid w:val="006308E1"/>
    <w:rsid w:val="006361D6"/>
    <w:rsid w:val="006A260A"/>
    <w:rsid w:val="006B7E07"/>
    <w:rsid w:val="006C1FDC"/>
    <w:rsid w:val="006D33E1"/>
    <w:rsid w:val="00714048"/>
    <w:rsid w:val="00777DCC"/>
    <w:rsid w:val="00777F21"/>
    <w:rsid w:val="007836BF"/>
    <w:rsid w:val="00797608"/>
    <w:rsid w:val="007A626A"/>
    <w:rsid w:val="007A6C6C"/>
    <w:rsid w:val="008E4E87"/>
    <w:rsid w:val="008F59EA"/>
    <w:rsid w:val="00911BCC"/>
    <w:rsid w:val="009324DF"/>
    <w:rsid w:val="00945ED6"/>
    <w:rsid w:val="00955072"/>
    <w:rsid w:val="00987F52"/>
    <w:rsid w:val="009A287A"/>
    <w:rsid w:val="009A4100"/>
    <w:rsid w:val="009A5FAB"/>
    <w:rsid w:val="009C7F13"/>
    <w:rsid w:val="009D032E"/>
    <w:rsid w:val="00A2239D"/>
    <w:rsid w:val="00A533CE"/>
    <w:rsid w:val="00A71C58"/>
    <w:rsid w:val="00A83F47"/>
    <w:rsid w:val="00AB77E5"/>
    <w:rsid w:val="00B121AF"/>
    <w:rsid w:val="00B2366F"/>
    <w:rsid w:val="00B2434D"/>
    <w:rsid w:val="00B30742"/>
    <w:rsid w:val="00B328DB"/>
    <w:rsid w:val="00B81716"/>
    <w:rsid w:val="00B81BB8"/>
    <w:rsid w:val="00B96978"/>
    <w:rsid w:val="00BB0690"/>
    <w:rsid w:val="00BC7622"/>
    <w:rsid w:val="00BD18C8"/>
    <w:rsid w:val="00BD7045"/>
    <w:rsid w:val="00BE2021"/>
    <w:rsid w:val="00C42DED"/>
    <w:rsid w:val="00C50539"/>
    <w:rsid w:val="00C51C6A"/>
    <w:rsid w:val="00C638EF"/>
    <w:rsid w:val="00C7266C"/>
    <w:rsid w:val="00CE3426"/>
    <w:rsid w:val="00CE7887"/>
    <w:rsid w:val="00D0449F"/>
    <w:rsid w:val="00D1131B"/>
    <w:rsid w:val="00D12546"/>
    <w:rsid w:val="00DA20B5"/>
    <w:rsid w:val="00DA3058"/>
    <w:rsid w:val="00DB2F01"/>
    <w:rsid w:val="00E04AB3"/>
    <w:rsid w:val="00E773E9"/>
    <w:rsid w:val="00E8041C"/>
    <w:rsid w:val="00EA52D9"/>
    <w:rsid w:val="00ED2D11"/>
    <w:rsid w:val="00F056D2"/>
    <w:rsid w:val="00F100EC"/>
    <w:rsid w:val="00F23881"/>
    <w:rsid w:val="00F62534"/>
    <w:rsid w:val="00FC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2351F"/>
  <w15:docId w15:val="{042FFF3B-ABE9-4ADF-AE2F-635AB3ED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1" w:right="2064"/>
      <w:jc w:val="center"/>
      <w:outlineLvl w:val="0"/>
    </w:pPr>
    <w:rPr>
      <w:sz w:val="44"/>
      <w:szCs w:val="44"/>
    </w:rPr>
  </w:style>
  <w:style w:type="paragraph" w:styleId="Heading2">
    <w:name w:val="heading 2"/>
    <w:basedOn w:val="Normal"/>
    <w:uiPriority w:val="9"/>
    <w:unhideWhenUsed/>
    <w:qFormat/>
    <w:pPr>
      <w:ind w:left="560"/>
      <w:outlineLvl w:val="1"/>
    </w:pPr>
    <w:rPr>
      <w:sz w:val="28"/>
      <w:szCs w:val="28"/>
      <w:u w:val="single" w:color="000000"/>
    </w:rPr>
  </w:style>
  <w:style w:type="paragraph" w:styleId="Heading3">
    <w:name w:val="heading 3"/>
    <w:basedOn w:val="Normal"/>
    <w:uiPriority w:val="9"/>
    <w:unhideWhenUsed/>
    <w:qFormat/>
    <w:pPr>
      <w:spacing w:before="200"/>
      <w:ind w:left="5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449F"/>
    <w:pPr>
      <w:tabs>
        <w:tab w:val="center" w:pos="4513"/>
        <w:tab w:val="right" w:pos="9026"/>
      </w:tabs>
    </w:pPr>
  </w:style>
  <w:style w:type="character" w:customStyle="1" w:styleId="HeaderChar">
    <w:name w:val="Header Char"/>
    <w:basedOn w:val="DefaultParagraphFont"/>
    <w:link w:val="Header"/>
    <w:uiPriority w:val="99"/>
    <w:rsid w:val="00D0449F"/>
    <w:rPr>
      <w:rFonts w:ascii="Arial" w:eastAsia="Arial" w:hAnsi="Arial" w:cs="Arial"/>
    </w:rPr>
  </w:style>
  <w:style w:type="paragraph" w:styleId="Footer">
    <w:name w:val="footer"/>
    <w:basedOn w:val="Normal"/>
    <w:link w:val="FooterChar"/>
    <w:uiPriority w:val="99"/>
    <w:unhideWhenUsed/>
    <w:rsid w:val="00D0449F"/>
    <w:pPr>
      <w:tabs>
        <w:tab w:val="center" w:pos="4513"/>
        <w:tab w:val="right" w:pos="9026"/>
      </w:tabs>
    </w:pPr>
  </w:style>
  <w:style w:type="character" w:customStyle="1" w:styleId="FooterChar">
    <w:name w:val="Footer Char"/>
    <w:basedOn w:val="DefaultParagraphFont"/>
    <w:link w:val="Footer"/>
    <w:uiPriority w:val="99"/>
    <w:rsid w:val="00D0449F"/>
    <w:rPr>
      <w:rFonts w:ascii="Arial" w:eastAsia="Arial" w:hAnsi="Arial" w:cs="Arial"/>
    </w:rPr>
  </w:style>
  <w:style w:type="paragraph" w:customStyle="1" w:styleId="Default">
    <w:name w:val="Default"/>
    <w:rsid w:val="002D1FDB"/>
    <w:pPr>
      <w:widowControl/>
      <w:adjustRightInd w:val="0"/>
    </w:pPr>
    <w:rPr>
      <w:rFonts w:ascii="Calibri" w:hAnsi="Calibri" w:cs="Calibri"/>
      <w:color w:val="000000"/>
      <w:sz w:val="24"/>
      <w:szCs w:val="24"/>
      <w:lang w:val="en-GB"/>
    </w:rPr>
  </w:style>
  <w:style w:type="character" w:styleId="CommentReference">
    <w:name w:val="annotation reference"/>
    <w:basedOn w:val="DefaultParagraphFont"/>
    <w:uiPriority w:val="99"/>
    <w:semiHidden/>
    <w:unhideWhenUsed/>
    <w:rsid w:val="00527AE1"/>
    <w:rPr>
      <w:sz w:val="16"/>
      <w:szCs w:val="16"/>
    </w:rPr>
  </w:style>
  <w:style w:type="paragraph" w:styleId="CommentText">
    <w:name w:val="annotation text"/>
    <w:basedOn w:val="Normal"/>
    <w:link w:val="CommentTextChar"/>
    <w:uiPriority w:val="99"/>
    <w:semiHidden/>
    <w:unhideWhenUsed/>
    <w:rsid w:val="00527AE1"/>
    <w:rPr>
      <w:sz w:val="20"/>
      <w:szCs w:val="20"/>
    </w:rPr>
  </w:style>
  <w:style w:type="character" w:customStyle="1" w:styleId="CommentTextChar">
    <w:name w:val="Comment Text Char"/>
    <w:basedOn w:val="DefaultParagraphFont"/>
    <w:link w:val="CommentText"/>
    <w:uiPriority w:val="99"/>
    <w:semiHidden/>
    <w:rsid w:val="00527A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7AE1"/>
    <w:rPr>
      <w:b/>
      <w:bCs/>
    </w:rPr>
  </w:style>
  <w:style w:type="character" w:customStyle="1" w:styleId="CommentSubjectChar">
    <w:name w:val="Comment Subject Char"/>
    <w:basedOn w:val="CommentTextChar"/>
    <w:link w:val="CommentSubject"/>
    <w:uiPriority w:val="99"/>
    <w:semiHidden/>
    <w:rsid w:val="00527AE1"/>
    <w:rPr>
      <w:rFonts w:ascii="Arial" w:eastAsia="Arial" w:hAnsi="Arial" w:cs="Arial"/>
      <w:b/>
      <w:bCs/>
      <w:sz w:val="20"/>
      <w:szCs w:val="20"/>
    </w:rPr>
  </w:style>
  <w:style w:type="paragraph" w:styleId="BalloonText">
    <w:name w:val="Balloon Text"/>
    <w:basedOn w:val="Normal"/>
    <w:link w:val="BalloonTextChar"/>
    <w:uiPriority w:val="99"/>
    <w:semiHidden/>
    <w:unhideWhenUsed/>
    <w:rsid w:val="00527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E1"/>
    <w:rPr>
      <w:rFonts w:ascii="Segoe UI" w:eastAsia="Arial" w:hAnsi="Segoe UI" w:cs="Segoe UI"/>
      <w:sz w:val="18"/>
      <w:szCs w:val="18"/>
    </w:rPr>
  </w:style>
  <w:style w:type="character" w:styleId="Hyperlink">
    <w:name w:val="Hyperlink"/>
    <w:basedOn w:val="DefaultParagraphFont"/>
    <w:uiPriority w:val="99"/>
    <w:unhideWhenUsed/>
    <w:rsid w:val="0052455C"/>
    <w:rPr>
      <w:color w:val="0000FF"/>
      <w:u w:val="single"/>
    </w:rPr>
  </w:style>
  <w:style w:type="character" w:styleId="FollowedHyperlink">
    <w:name w:val="FollowedHyperlink"/>
    <w:basedOn w:val="DefaultParagraphFont"/>
    <w:uiPriority w:val="99"/>
    <w:semiHidden/>
    <w:unhideWhenUsed/>
    <w:rsid w:val="0010067D"/>
    <w:rPr>
      <w:color w:val="800080" w:themeColor="followedHyperlink"/>
      <w:u w:val="single"/>
    </w:rPr>
  </w:style>
  <w:style w:type="character" w:styleId="UnresolvedMention">
    <w:name w:val="Unresolved Mention"/>
    <w:basedOn w:val="DefaultParagraphFont"/>
    <w:uiPriority w:val="99"/>
    <w:semiHidden/>
    <w:unhideWhenUsed/>
    <w:rsid w:val="005974F2"/>
    <w:rPr>
      <w:color w:val="605E5C"/>
      <w:shd w:val="clear" w:color="auto" w:fill="E1DFDD"/>
    </w:rPr>
  </w:style>
  <w:style w:type="character" w:styleId="Strong">
    <w:name w:val="Strong"/>
    <w:basedOn w:val="DefaultParagraphFont"/>
    <w:uiPriority w:val="22"/>
    <w:qFormat/>
    <w:rsid w:val="00440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in.allen@westlothian.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3344E-F3BD-444B-A936-DEC8A48A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 Iain</dc:creator>
  <cp:lastModifiedBy>Baxter, Matthew</cp:lastModifiedBy>
  <cp:revision>2</cp:revision>
  <dcterms:created xsi:type="dcterms:W3CDTF">2026-04-22T13:11:00Z</dcterms:created>
  <dcterms:modified xsi:type="dcterms:W3CDTF">2026-04-22T13:11:00Z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Adobe Acrobat Pro 2017 17.11.30175</vt:lpwstr>
  </property>
  <property fmtid="{D5CDD505-2E9C-101B-9397-08002B2CF9AE}" pid="4" name="LastSaved">
    <vt:filetime>2023-05-12T00:00:00Z</vt:filetime>
  </property>
</Properties>
</file>